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auto"/>
          <w:kern w:val="36"/>
          <w:sz w:val="44"/>
          <w:szCs w:val="44"/>
          <w:vertAlign w:val="superscript"/>
        </w:rPr>
      </w:pPr>
      <w:r>
        <w:rPr>
          <w:rFonts w:hint="eastAsia" w:ascii="宋体" w:hAnsi="宋体" w:eastAsia="宋体" w:cs="宋体"/>
          <w:b/>
          <w:bCs/>
          <w:color w:val="auto"/>
          <w:sz w:val="44"/>
          <w:szCs w:val="44"/>
          <w:lang w:val="en-US" w:eastAsia="zh-CN"/>
        </w:rPr>
        <w:t>房屋征收工作“互联网+”信息化研究</w:t>
      </w:r>
      <w:r>
        <w:rPr>
          <w:rFonts w:hint="eastAsia" w:ascii="宋体" w:hAnsi="宋体" w:eastAsia="宋体" w:cs="宋体"/>
          <w:b/>
          <w:color w:val="auto"/>
          <w:kern w:val="36"/>
          <w:sz w:val="44"/>
          <w:szCs w:val="44"/>
          <w:vertAlign w:val="superscript"/>
        </w:rPr>
        <w:footnoteReference w:id="0" w:customMarkFollows="1"/>
        <w:sym w:font="Symbol" w:char="002A"/>
      </w:r>
    </w:p>
    <w:p>
      <w:pPr>
        <w:widowControl/>
        <w:jc w:val="center"/>
        <w:rPr>
          <w:rFonts w:ascii="宋体" w:hAnsi="宋体" w:cs="宋体"/>
          <w:color w:val="auto"/>
          <w:kern w:val="0"/>
          <w:szCs w:val="21"/>
        </w:rPr>
      </w:pPr>
      <w:r>
        <w:rPr>
          <w:rFonts w:hint="eastAsia" w:ascii="宋体" w:hAnsi="宋体" w:cs="宋体"/>
          <w:color w:val="auto"/>
          <w:kern w:val="0"/>
          <w:szCs w:val="21"/>
          <w:lang w:val="en-US" w:eastAsia="zh-CN"/>
        </w:rPr>
        <w:t>左惠文</w:t>
      </w:r>
      <w:r>
        <w:rPr>
          <w:rFonts w:hint="eastAsia" w:ascii="宋体" w:hAnsi="宋体"/>
          <w:color w:val="auto"/>
          <w:kern w:val="0"/>
          <w:szCs w:val="21"/>
        </w:rPr>
        <w:t xml:space="preserve">       </w:t>
      </w:r>
      <w:r>
        <w:rPr>
          <w:rFonts w:hint="eastAsia" w:ascii="宋体" w:hAnsi="宋体"/>
          <w:color w:val="auto"/>
          <w:kern w:val="0"/>
          <w:szCs w:val="21"/>
          <w:vertAlign w:val="superscript"/>
        </w:rPr>
        <w:t xml:space="preserve">   </w:t>
      </w:r>
    </w:p>
    <w:p>
      <w:pPr>
        <w:jc w:val="center"/>
        <w:rPr>
          <w:rFonts w:hint="eastAsia" w:ascii="宋体" w:hAnsi="宋体" w:eastAsia="宋体" w:cs="宋体"/>
          <w:color w:val="auto"/>
          <w:kern w:val="0"/>
          <w:szCs w:val="21"/>
        </w:rPr>
      </w:pPr>
      <w:r>
        <w:rPr>
          <w:rFonts w:hint="default" w:ascii="Times New Roman" w:hAnsi="Times New Roman" w:eastAsia="宋体" w:cs="Times New Roman"/>
          <w:color w:val="auto"/>
          <w:kern w:val="0"/>
          <w:szCs w:val="21"/>
        </w:rPr>
        <w:t>(</w:t>
      </w:r>
      <w:r>
        <w:rPr>
          <w:rFonts w:hint="eastAsia" w:ascii="宋体" w:hAnsi="宋体" w:eastAsia="宋体" w:cs="宋体"/>
          <w:color w:val="auto"/>
          <w:kern w:val="0"/>
          <w:szCs w:val="21"/>
          <w:lang w:val="en-US" w:eastAsia="zh-CN"/>
        </w:rPr>
        <w:t>福州大学经济与管理学院</w:t>
      </w:r>
      <w:r>
        <w:rPr>
          <w:rFonts w:hint="eastAsia" w:ascii="宋体" w:hAnsi="宋体" w:eastAsia="宋体" w:cs="宋体"/>
          <w:color w:val="auto"/>
          <w:kern w:val="0"/>
          <w:szCs w:val="21"/>
        </w:rPr>
        <w:t xml:space="preserve"> </w:t>
      </w:r>
      <w:r>
        <w:rPr>
          <w:rFonts w:hint="eastAsia" w:ascii="宋体" w:hAnsi="宋体" w:eastAsia="宋体" w:cs="宋体"/>
          <w:color w:val="auto"/>
          <w:kern w:val="0"/>
          <w:szCs w:val="21"/>
          <w:lang w:val="en-US" w:eastAsia="zh-CN"/>
        </w:rPr>
        <w:t>福州</w:t>
      </w:r>
      <w:r>
        <w:rPr>
          <w:rFonts w:hint="eastAsia" w:ascii="宋体" w:hAnsi="宋体" w:eastAsia="宋体" w:cs="宋体"/>
          <w:color w:val="auto"/>
          <w:kern w:val="0"/>
          <w:szCs w:val="21"/>
        </w:rPr>
        <w:t xml:space="preserve"> </w:t>
      </w:r>
      <w:r>
        <w:rPr>
          <w:rFonts w:hint="default" w:ascii="Times New Roman" w:hAnsi="Times New Roman" w:eastAsia="宋体" w:cs="Times New Roman"/>
          <w:color w:val="auto"/>
          <w:kern w:val="0"/>
          <w:szCs w:val="21"/>
          <w:lang w:val="en-US" w:eastAsia="zh-CN"/>
        </w:rPr>
        <w:t>350116</w:t>
      </w:r>
      <w:r>
        <w:rPr>
          <w:rFonts w:hint="default" w:ascii="Times New Roman" w:hAnsi="Times New Roman" w:eastAsia="宋体" w:cs="Times New Roman"/>
          <w:color w:val="auto"/>
          <w:kern w:val="0"/>
          <w:szCs w:val="21"/>
        </w:rPr>
        <w:t>)</w:t>
      </w:r>
    </w:p>
    <w:p>
      <w:pPr>
        <w:widowControl/>
        <w:jc w:val="left"/>
        <w:rPr>
          <w:rFonts w:hint="eastAsia" w:ascii="新宋体" w:hAnsi="新宋体" w:eastAsia="新宋体" w:cs="宋体"/>
          <w:b/>
          <w:bCs/>
          <w:color w:val="auto"/>
          <w:kern w:val="0"/>
          <w:szCs w:val="21"/>
        </w:rPr>
      </w:pPr>
    </w:p>
    <w:p>
      <w:pPr>
        <w:keepNext w:val="0"/>
        <w:keepLines w:val="0"/>
        <w:pageBreakBefore w:val="0"/>
        <w:widowControl/>
        <w:kinsoku/>
        <w:wordWrap/>
        <w:overflowPunct/>
        <w:topLinePunct w:val="0"/>
        <w:autoSpaceDE/>
        <w:autoSpaceDN/>
        <w:bidi w:val="0"/>
        <w:adjustRightInd/>
        <w:snapToGrid/>
        <w:jc w:val="left"/>
        <w:textAlignment w:val="auto"/>
        <w:rPr>
          <w:rFonts w:hint="eastAsia" w:ascii="新宋体" w:hAnsi="新宋体" w:eastAsia="新宋体" w:cs="宋体"/>
          <w:b/>
          <w:bCs/>
          <w:color w:val="auto"/>
          <w:kern w:val="0"/>
          <w:szCs w:val="21"/>
        </w:rPr>
      </w:pPr>
      <w:r>
        <w:rPr>
          <w:rFonts w:hint="eastAsia" w:ascii="新宋体" w:hAnsi="新宋体" w:eastAsia="新宋体" w:cs="宋体"/>
          <w:b/>
          <w:bCs/>
          <w:color w:val="auto"/>
          <w:kern w:val="0"/>
          <w:szCs w:val="21"/>
        </w:rPr>
        <w:t>摘要:</w:t>
      </w:r>
    </w:p>
    <w:p>
      <w:pPr>
        <w:keepNext w:val="0"/>
        <w:keepLines w:val="0"/>
        <w:pageBreakBefore w:val="0"/>
        <w:widowControl/>
        <w:kinsoku/>
        <w:wordWrap/>
        <w:overflowPunct/>
        <w:topLinePunct w:val="0"/>
        <w:autoSpaceDE/>
        <w:autoSpaceDN/>
        <w:bidi w:val="0"/>
        <w:adjustRightInd/>
        <w:snapToGrid/>
        <w:jc w:val="left"/>
        <w:textAlignment w:val="auto"/>
        <w:rPr>
          <w:rFonts w:ascii="宋体" w:hAnsi="宋体"/>
          <w:bCs/>
          <w:color w:val="auto"/>
          <w:kern w:val="0"/>
          <w:szCs w:val="21"/>
        </w:rPr>
      </w:pPr>
      <w:r>
        <w:rPr>
          <w:rFonts w:eastAsia="新宋体"/>
          <w:b/>
          <w:bCs/>
          <w:color w:val="auto"/>
          <w:kern w:val="0"/>
          <w:szCs w:val="21"/>
        </w:rPr>
        <w:t>[</w:t>
      </w:r>
      <w:r>
        <w:rPr>
          <w:rFonts w:hint="eastAsia" w:eastAsia="新宋体"/>
          <w:b/>
          <w:bCs/>
          <w:color w:val="auto"/>
          <w:kern w:val="0"/>
          <w:szCs w:val="21"/>
        </w:rPr>
        <w:t>目的</w:t>
      </w:r>
      <w:r>
        <w:rPr>
          <w:rFonts w:eastAsia="新宋体"/>
          <w:b/>
          <w:bCs/>
          <w:color w:val="auto"/>
          <w:kern w:val="0"/>
          <w:szCs w:val="21"/>
        </w:rPr>
        <w:t>]</w:t>
      </w:r>
      <w:r>
        <w:rPr>
          <w:rFonts w:hint="eastAsia" w:ascii="宋体" w:hAnsi="宋体" w:eastAsia="宋体" w:cs="宋体"/>
          <w:b w:val="0"/>
          <w:bCs w:val="0"/>
          <w:color w:val="auto"/>
          <w:kern w:val="0"/>
          <w:szCs w:val="21"/>
          <w:lang w:val="en-US" w:eastAsia="zh-CN"/>
        </w:rPr>
        <w:t>对传统房屋征收工作进行信息化升级改造研究</w:t>
      </w:r>
      <w:r>
        <w:rPr>
          <w:rFonts w:hint="eastAsia" w:ascii="宋体" w:hAnsi="宋体"/>
          <w:bCs/>
          <w:color w:val="auto"/>
          <w:kern w:val="0"/>
          <w:szCs w:val="21"/>
        </w:rPr>
        <w:t>。</w:t>
      </w:r>
    </w:p>
    <w:p>
      <w:pPr>
        <w:keepNext w:val="0"/>
        <w:keepLines w:val="0"/>
        <w:pageBreakBefore w:val="0"/>
        <w:widowControl/>
        <w:kinsoku/>
        <w:wordWrap/>
        <w:overflowPunct/>
        <w:topLinePunct w:val="0"/>
        <w:autoSpaceDE/>
        <w:autoSpaceDN/>
        <w:bidi w:val="0"/>
        <w:adjustRightInd/>
        <w:snapToGrid/>
        <w:jc w:val="left"/>
        <w:textAlignment w:val="auto"/>
        <w:rPr>
          <w:rFonts w:eastAsia="新宋体"/>
          <w:bCs/>
          <w:color w:val="auto"/>
          <w:kern w:val="0"/>
          <w:szCs w:val="21"/>
        </w:rPr>
      </w:pPr>
      <w:r>
        <w:rPr>
          <w:rFonts w:eastAsia="新宋体"/>
          <w:b/>
          <w:bCs/>
          <w:color w:val="auto"/>
          <w:kern w:val="0"/>
          <w:szCs w:val="21"/>
        </w:rPr>
        <w:t>[方法]</w:t>
      </w:r>
      <w:r>
        <w:rPr>
          <w:rFonts w:hint="eastAsia" w:ascii="宋体" w:hAnsi="宋体" w:eastAsia="宋体" w:cs="宋体"/>
          <w:b w:val="0"/>
          <w:bCs w:val="0"/>
          <w:color w:val="auto"/>
          <w:kern w:val="0"/>
          <w:szCs w:val="21"/>
          <w:lang w:val="en-US" w:eastAsia="zh-CN"/>
        </w:rPr>
        <w:t>通过文献分析，实地访谈对</w:t>
      </w:r>
      <w:r>
        <w:rPr>
          <w:rFonts w:hint="default" w:ascii="Times New Roman" w:hAnsi="Times New Roman" w:cs="Times New Roman"/>
          <w:bCs/>
          <w:color w:val="auto"/>
          <w:kern w:val="0"/>
          <w:szCs w:val="21"/>
          <w:lang w:val="en-US" w:eastAsia="zh-CN"/>
        </w:rPr>
        <w:t>Y</w:t>
      </w:r>
      <w:r>
        <w:rPr>
          <w:rFonts w:hint="eastAsia" w:ascii="宋体" w:hAnsi="宋体" w:eastAsia="宋体" w:cs="宋体"/>
          <w:b w:val="0"/>
          <w:bCs w:val="0"/>
          <w:color w:val="auto"/>
          <w:kern w:val="0"/>
          <w:szCs w:val="21"/>
          <w:lang w:val="en-US" w:eastAsia="zh-CN"/>
        </w:rPr>
        <w:t>县房屋征收工作“互联网+”信息化的现状和需要解决</w:t>
      </w:r>
      <w:r>
        <w:rPr>
          <w:rFonts w:hint="eastAsia" w:ascii="宋体" w:hAnsi="宋体"/>
          <w:bCs/>
          <w:color w:val="auto"/>
          <w:kern w:val="0"/>
          <w:szCs w:val="21"/>
          <w:lang w:val="en-US" w:eastAsia="zh-CN"/>
        </w:rPr>
        <w:t>的问题，再基于PaaS模式对平台进行建设，建成房屋征收信息一体化平台</w:t>
      </w:r>
      <w:r>
        <w:rPr>
          <w:rFonts w:hint="eastAsia" w:ascii="宋体" w:hAnsi="宋体"/>
          <w:bCs/>
          <w:color w:val="auto"/>
          <w:kern w:val="0"/>
          <w:szCs w:val="21"/>
        </w:rPr>
        <w:t>。</w:t>
      </w: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bCs/>
          <w:color w:val="auto"/>
          <w:kern w:val="0"/>
          <w:szCs w:val="21"/>
        </w:rPr>
      </w:pPr>
      <w:r>
        <w:rPr>
          <w:rFonts w:eastAsia="新宋体"/>
          <w:b/>
          <w:bCs/>
          <w:color w:val="auto"/>
          <w:kern w:val="0"/>
          <w:szCs w:val="21"/>
        </w:rPr>
        <w:t>[结果</w:t>
      </w:r>
      <w:r>
        <w:rPr>
          <w:rFonts w:hint="eastAsia" w:eastAsia="新宋体"/>
          <w:b/>
          <w:bCs/>
          <w:color w:val="auto"/>
          <w:kern w:val="0"/>
          <w:szCs w:val="21"/>
        </w:rPr>
        <w:t>]</w:t>
      </w:r>
      <w:r>
        <w:rPr>
          <w:rFonts w:hint="eastAsia" w:ascii="宋体" w:hAnsi="宋体"/>
          <w:bCs/>
          <w:color w:val="auto"/>
          <w:kern w:val="0"/>
          <w:szCs w:val="21"/>
        </w:rPr>
        <w:t>探讨了以房屋征收各项基础数据为核心</w:t>
      </w:r>
      <w:r>
        <w:rPr>
          <w:rFonts w:hint="eastAsia" w:ascii="宋体" w:hAnsi="宋体"/>
          <w:bCs/>
          <w:color w:val="auto"/>
          <w:kern w:val="0"/>
          <w:szCs w:val="21"/>
          <w:lang w:eastAsia="zh-CN"/>
        </w:rPr>
        <w:t>，</w:t>
      </w:r>
      <w:r>
        <w:rPr>
          <w:rFonts w:hint="eastAsia" w:ascii="宋体" w:hAnsi="宋体"/>
          <w:bCs/>
          <w:color w:val="auto"/>
          <w:kern w:val="0"/>
          <w:szCs w:val="21"/>
        </w:rPr>
        <w:t>将房屋征收流程中所包含的各个环节整合</w:t>
      </w:r>
      <w:r>
        <w:rPr>
          <w:rFonts w:hint="eastAsia" w:ascii="宋体" w:hAnsi="宋体"/>
          <w:bCs/>
          <w:color w:val="auto"/>
          <w:kern w:val="0"/>
          <w:szCs w:val="21"/>
          <w:lang w:val="en-US" w:eastAsia="zh-CN"/>
        </w:rPr>
        <w:t>在一起的房屋征收信息一体化平台系统，</w:t>
      </w:r>
      <w:r>
        <w:rPr>
          <w:rFonts w:hint="eastAsia" w:ascii="宋体" w:hAnsi="宋体"/>
          <w:bCs/>
          <w:color w:val="auto"/>
          <w:kern w:val="0"/>
          <w:szCs w:val="21"/>
        </w:rPr>
        <w:t>包含项目管理系统，信息查询系统，项目督查系统，征收服务系统。</w:t>
      </w:r>
    </w:p>
    <w:p>
      <w:pPr>
        <w:keepNext w:val="0"/>
        <w:keepLines w:val="0"/>
        <w:pageBreakBefore w:val="0"/>
        <w:widowControl/>
        <w:kinsoku/>
        <w:wordWrap/>
        <w:overflowPunct/>
        <w:topLinePunct w:val="0"/>
        <w:autoSpaceDE/>
        <w:autoSpaceDN/>
        <w:bidi w:val="0"/>
        <w:adjustRightInd/>
        <w:snapToGrid/>
        <w:jc w:val="left"/>
        <w:textAlignment w:val="auto"/>
        <w:rPr>
          <w:rFonts w:hint="default" w:ascii="宋体" w:hAnsi="宋体"/>
          <w:color w:val="auto"/>
          <w:szCs w:val="21"/>
          <w:u w:val="single"/>
          <w:lang w:val="en-US"/>
        </w:rPr>
      </w:pPr>
      <w:r>
        <w:rPr>
          <w:rFonts w:eastAsia="新宋体"/>
          <w:b/>
          <w:bCs/>
          <w:color w:val="auto"/>
          <w:kern w:val="0"/>
          <w:szCs w:val="21"/>
          <w:u w:val="none"/>
        </w:rPr>
        <w:t>[局限]</w:t>
      </w:r>
      <w:r>
        <w:rPr>
          <w:rFonts w:hint="eastAsia" w:ascii="宋体" w:hAnsi="宋体" w:eastAsia="宋体" w:cs="宋体"/>
          <w:b w:val="0"/>
          <w:bCs w:val="0"/>
          <w:color w:val="auto"/>
          <w:kern w:val="0"/>
          <w:szCs w:val="21"/>
          <w:lang w:val="en-US" w:eastAsia="zh-CN"/>
        </w:rPr>
        <w:t>房屋征收工作模式单一，信息化基础比较薄弱，各项基础数据在应用中仍存在数据壁垒、数据安全、公众参与机制不足、信息公开不充分等问题</w:t>
      </w:r>
      <w:r>
        <w:rPr>
          <w:rFonts w:hint="eastAsia" w:ascii="宋体" w:hAnsi="宋体"/>
          <w:bCs/>
          <w:color w:val="auto"/>
          <w:kern w:val="0"/>
          <w:szCs w:val="21"/>
          <w:lang w:val="en-US" w:eastAsia="zh-CN"/>
        </w:rPr>
        <w:t>。</w:t>
      </w: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bCs/>
          <w:color w:val="auto"/>
          <w:kern w:val="0"/>
          <w:szCs w:val="21"/>
          <w:lang w:val="en-US" w:eastAsia="zh-CN"/>
        </w:rPr>
      </w:pPr>
      <w:r>
        <w:rPr>
          <w:rFonts w:eastAsia="新宋体"/>
          <w:b/>
          <w:bCs/>
          <w:color w:val="auto"/>
          <w:kern w:val="0"/>
          <w:szCs w:val="21"/>
          <w:u w:val="none"/>
        </w:rPr>
        <w:t>[结论]</w:t>
      </w:r>
      <w:r>
        <w:rPr>
          <w:rFonts w:hint="eastAsia" w:ascii="宋体" w:hAnsi="宋体"/>
          <w:bCs/>
          <w:color w:val="auto"/>
          <w:kern w:val="0"/>
          <w:szCs w:val="21"/>
          <w:lang w:val="en-US" w:eastAsia="zh-CN"/>
        </w:rPr>
        <w:t>整合房屋征收数据，建立房屋征收信息一体化平台系统对房屋征收工作发展十分重要。</w:t>
      </w:r>
    </w:p>
    <w:p>
      <w:pPr>
        <w:keepNext w:val="0"/>
        <w:keepLines w:val="0"/>
        <w:pageBreakBefore w:val="0"/>
        <w:widowControl/>
        <w:kinsoku/>
        <w:wordWrap/>
        <w:overflowPunct/>
        <w:topLinePunct w:val="0"/>
        <w:autoSpaceDE/>
        <w:autoSpaceDN/>
        <w:bidi w:val="0"/>
        <w:adjustRightInd/>
        <w:snapToGrid/>
        <w:jc w:val="left"/>
        <w:textAlignment w:val="auto"/>
        <w:rPr>
          <w:rFonts w:hint="default" w:ascii="Times New Roman" w:hAnsi="Times New Roman" w:cs="Times New Roman"/>
          <w:bCs/>
          <w:color w:val="auto"/>
          <w:kern w:val="0"/>
          <w:szCs w:val="21"/>
          <w:lang w:val="en-US" w:eastAsia="zh-CN"/>
        </w:rPr>
      </w:pPr>
      <w:r>
        <w:rPr>
          <w:rFonts w:hint="eastAsia" w:ascii="新宋体" w:hAnsi="新宋体" w:eastAsia="新宋体" w:cs="宋体"/>
          <w:b/>
          <w:bCs/>
          <w:color w:val="auto"/>
          <w:kern w:val="0"/>
          <w:szCs w:val="21"/>
        </w:rPr>
        <w:t>关键</w:t>
      </w:r>
      <w:r>
        <w:rPr>
          <w:rFonts w:eastAsia="新宋体"/>
          <w:b/>
          <w:bCs/>
          <w:color w:val="auto"/>
          <w:kern w:val="0"/>
          <w:szCs w:val="21"/>
        </w:rPr>
        <w:t>词</w:t>
      </w:r>
      <w:r>
        <w:rPr>
          <w:rFonts w:hint="eastAsia" w:eastAsia="新宋体"/>
          <w:b/>
          <w:bCs/>
          <w:color w:val="auto"/>
          <w:kern w:val="0"/>
          <w:szCs w:val="21"/>
        </w:rPr>
        <w:t xml:space="preserve">: </w:t>
      </w:r>
      <w:r>
        <w:rPr>
          <w:rFonts w:hint="eastAsia" w:ascii="宋体" w:hAnsi="宋体"/>
          <w:bCs/>
          <w:color w:val="auto"/>
          <w:kern w:val="0"/>
          <w:szCs w:val="21"/>
          <w:lang w:val="en-US" w:eastAsia="zh-CN"/>
        </w:rPr>
        <w:t xml:space="preserve">房屋征收  </w:t>
      </w:r>
      <w:r>
        <w:rPr>
          <w:rFonts w:hint="default" w:ascii="Times New Roman" w:hAnsi="Times New Roman" w:cs="Times New Roman"/>
          <w:bCs/>
          <w:color w:val="auto"/>
          <w:kern w:val="0"/>
          <w:szCs w:val="21"/>
          <w:lang w:val="en-US" w:eastAsia="zh-CN"/>
        </w:rPr>
        <w:t>“互联网+”</w:t>
      </w:r>
      <w:r>
        <w:rPr>
          <w:rFonts w:hint="eastAsia" w:ascii="宋体" w:hAnsi="宋体"/>
          <w:bCs/>
          <w:color w:val="auto"/>
          <w:kern w:val="0"/>
          <w:szCs w:val="21"/>
          <w:lang w:val="en-US" w:eastAsia="zh-CN"/>
        </w:rPr>
        <w:t xml:space="preserve">  信息化  </w:t>
      </w:r>
      <w:r>
        <w:rPr>
          <w:rFonts w:hint="default" w:ascii="Times New Roman" w:hAnsi="Times New Roman" w:cs="Times New Roman"/>
          <w:bCs/>
          <w:color w:val="auto"/>
          <w:kern w:val="0"/>
          <w:szCs w:val="21"/>
          <w:lang w:val="en-US" w:eastAsia="zh-CN"/>
        </w:rPr>
        <w:t>PaaS</w:t>
      </w:r>
    </w:p>
    <w:p>
      <w:pPr>
        <w:keepNext w:val="0"/>
        <w:keepLines w:val="0"/>
        <w:pageBreakBefore w:val="0"/>
        <w:widowControl/>
        <w:kinsoku/>
        <w:wordWrap/>
        <w:overflowPunct/>
        <w:topLinePunct w:val="0"/>
        <w:autoSpaceDE/>
        <w:autoSpaceDN/>
        <w:bidi w:val="0"/>
        <w:adjustRightInd/>
        <w:snapToGrid/>
        <w:jc w:val="left"/>
        <w:textAlignment w:val="auto"/>
        <w:rPr>
          <w:rFonts w:hint="eastAsia" w:eastAsia="新宋体"/>
          <w:b/>
          <w:bCs/>
          <w:color w:val="auto"/>
          <w:kern w:val="0"/>
          <w:szCs w:val="21"/>
        </w:rPr>
      </w:pPr>
      <w:r>
        <w:rPr>
          <w:rFonts w:eastAsia="新宋体"/>
          <w:b/>
          <w:bCs/>
          <w:color w:val="auto"/>
          <w:kern w:val="0"/>
          <w:szCs w:val="21"/>
        </w:rPr>
        <w:t>分类号</w:t>
      </w:r>
      <w:r>
        <w:rPr>
          <w:rFonts w:hint="eastAsia" w:eastAsia="新宋体"/>
          <w:b/>
          <w:bCs/>
          <w:color w:val="auto"/>
          <w:kern w:val="0"/>
          <w:szCs w:val="21"/>
        </w:rPr>
        <w:t xml:space="preserve">: </w:t>
      </w:r>
    </w:p>
    <w:p>
      <w:pPr>
        <w:widowControl/>
        <w:jc w:val="left"/>
        <w:rPr>
          <w:rFonts w:hint="eastAsia" w:eastAsia="新宋体"/>
          <w:b/>
          <w:bCs/>
          <w:color w:val="auto"/>
          <w:kern w:val="0"/>
          <w:szCs w:val="21"/>
          <w:lang w:val="en-US" w:eastAsia="zh-CN"/>
        </w:rPr>
      </w:pPr>
    </w:p>
    <w:p>
      <w:pPr>
        <w:widowControl/>
        <w:jc w:val="left"/>
        <w:rPr>
          <w:rFonts w:hint="eastAsia" w:eastAsia="新宋体"/>
          <w:b/>
          <w:bCs/>
          <w:color w:val="auto"/>
          <w:kern w:val="0"/>
          <w:szCs w:val="21"/>
          <w:lang w:val="en-US" w:eastAsia="zh-CN"/>
        </w:rPr>
      </w:pPr>
    </w:p>
    <w:p>
      <w:pPr>
        <w:jc w:val="center"/>
        <w:rPr>
          <w:rFonts w:hint="default" w:ascii="Times New Roman" w:hAnsi="Times New Roman" w:eastAsia="宋体" w:cs="Times New Roman"/>
          <w:b/>
          <w:bCs/>
          <w:color w:val="auto"/>
          <w:sz w:val="44"/>
          <w:szCs w:val="44"/>
          <w:lang w:val="en-US" w:eastAsia="zh-CN"/>
        </w:rPr>
      </w:pPr>
      <w:r>
        <w:rPr>
          <w:rFonts w:hint="default" w:ascii="Times New Roman" w:hAnsi="Times New Roman" w:eastAsia="宋体" w:cs="Times New Roman"/>
          <w:b/>
          <w:bCs/>
          <w:color w:val="auto"/>
          <w:sz w:val="44"/>
          <w:szCs w:val="44"/>
          <w:lang w:val="en-US" w:eastAsia="zh-CN"/>
        </w:rPr>
        <w:t>Research on "Internet +" Informatization of Housing Expropriation Work</w:t>
      </w:r>
    </w:p>
    <w:p>
      <w:pPr>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Zuo Huiwen</w:t>
      </w:r>
    </w:p>
    <w:p>
      <w:pPr>
        <w:jc w:val="center"/>
        <w:rPr>
          <w:rFonts w:hint="default" w:ascii="Times New Roman" w:hAnsi="Times New Roman" w:cs="Times New Roman"/>
          <w:i w:val="0"/>
          <w:iCs w:val="0"/>
          <w:sz w:val="21"/>
          <w:szCs w:val="21"/>
          <w:lang w:val="en-US" w:eastAsia="zh-CN"/>
        </w:rPr>
      </w:pPr>
      <w:r>
        <w:rPr>
          <w:rFonts w:hint="default" w:ascii="Times New Roman" w:hAnsi="Times New Roman" w:cs="Times New Roman"/>
          <w:i w:val="0"/>
          <w:iCs w:val="0"/>
          <w:sz w:val="21"/>
          <w:szCs w:val="21"/>
          <w:lang w:val="en-US" w:eastAsia="zh-CN"/>
        </w:rPr>
        <w:t>(</w:t>
      </w:r>
      <w:r>
        <w:rPr>
          <w:rFonts w:hint="default" w:ascii="Times New Roman" w:hAnsi="Times New Roman" w:cs="Times New Roman"/>
          <w:i w:val="0"/>
          <w:iCs w:val="0"/>
          <w:sz w:val="21"/>
          <w:szCs w:val="21"/>
        </w:rPr>
        <w:t>School of Economics and Management, Fuzhou University, Fuzhou 350116, China</w:t>
      </w:r>
      <w:r>
        <w:rPr>
          <w:rFonts w:hint="default" w:ascii="Times New Roman" w:hAnsi="Times New Roman" w:cs="Times New Roman"/>
          <w:i w:val="0"/>
          <w:iCs w:val="0"/>
          <w:sz w:val="21"/>
          <w:szCs w:val="21"/>
          <w:lang w:val="en-US" w:eastAsia="zh-CN"/>
        </w:rPr>
        <w:t>)</w:t>
      </w:r>
    </w:p>
    <w:p>
      <w:pPr>
        <w:jc w:val="center"/>
        <w:rPr>
          <w:rFonts w:hint="default"/>
          <w:i w:val="0"/>
          <w:iCs w:val="0"/>
          <w:sz w:val="21"/>
          <w:szCs w:val="21"/>
          <w:lang w:val="en-US" w:eastAsia="zh-CN"/>
        </w:rPr>
      </w:pP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eastAsia="新宋体"/>
          <w:b/>
          <w:bCs/>
          <w:kern w:val="0"/>
          <w:szCs w:val="21"/>
        </w:rPr>
      </w:pPr>
      <w:r>
        <w:rPr>
          <w:rFonts w:ascii="Times New Roman" w:hAnsi="Times New Roman" w:eastAsia="新宋体"/>
          <w:b/>
          <w:bCs/>
          <w:kern w:val="0"/>
          <w:szCs w:val="21"/>
        </w:rPr>
        <w:t>Abstract</w:t>
      </w:r>
      <w:r>
        <w:rPr>
          <w:rFonts w:ascii="Times New Roman" w:eastAsia="新宋体"/>
          <w:b/>
          <w:bCs/>
          <w:kern w:val="0"/>
          <w:szCs w:val="21"/>
        </w:rPr>
        <w:t>：</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eastAsia="新宋体"/>
          <w:bCs/>
          <w:kern w:val="0"/>
          <w:szCs w:val="21"/>
        </w:rPr>
      </w:pPr>
      <w:r>
        <w:rPr>
          <w:rFonts w:ascii="Times New Roman" w:hAnsi="Times New Roman" w:eastAsia="新宋体"/>
          <w:b/>
          <w:bCs/>
          <w:kern w:val="0"/>
          <w:szCs w:val="21"/>
        </w:rPr>
        <w:t>[Objective]</w:t>
      </w:r>
      <w:r>
        <w:rPr>
          <w:rStyle w:val="12"/>
          <w:rFonts w:hint="eastAsia" w:ascii="Times New Roman" w:hAnsi="Times New Roman"/>
          <w:shd w:val="clear" w:color="auto" w:fill="FFFFFF"/>
        </w:rPr>
        <w:t>Research on the informatization upgrade and transformation of the traditional house expropriation work</w:t>
      </w:r>
      <w:r>
        <w:rPr>
          <w:rStyle w:val="12"/>
          <w:rFonts w:ascii="Times New Roman" w:hAnsi="Times New Roman"/>
          <w:shd w:val="clear" w:color="auto" w:fill="FFFFFF"/>
        </w:rPr>
        <w:t>.</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eastAsia="新宋体"/>
          <w:bCs/>
          <w:kern w:val="0"/>
          <w:szCs w:val="21"/>
        </w:rPr>
      </w:pPr>
      <w:r>
        <w:rPr>
          <w:rFonts w:ascii="Times New Roman" w:hAnsi="Times New Roman" w:eastAsia="新宋体"/>
          <w:b/>
          <w:bCs/>
          <w:kern w:val="0"/>
          <w:szCs w:val="21"/>
        </w:rPr>
        <w:t>[Methods]</w:t>
      </w:r>
      <w:r>
        <w:rPr>
          <w:rStyle w:val="12"/>
          <w:rFonts w:hint="eastAsia" w:ascii="Times New Roman" w:hAnsi="Times New Roman"/>
          <w:shd w:val="clear" w:color="auto" w:fill="FFFFFF"/>
        </w:rPr>
        <w:t>Through literature analysis and on-site interviews, the current situation and problems that need to be resolved in the “Internet +” informatization of housing expropriation work in County Y were conducted, and the platform was built based on the PaaS model to build an integrated housing expropriation information platform</w:t>
      </w:r>
      <w:r>
        <w:rPr>
          <w:rStyle w:val="12"/>
          <w:rFonts w:ascii="Times New Roman" w:hAnsi="Times New Roman"/>
          <w:shd w:val="clear" w:color="auto" w:fill="FFFFFF"/>
        </w:rPr>
        <w:t>.</w:t>
      </w:r>
    </w:p>
    <w:p>
      <w:pPr>
        <w:keepNext w:val="0"/>
        <w:keepLines w:val="0"/>
        <w:pageBreakBefore w:val="0"/>
        <w:widowControl/>
        <w:kinsoku/>
        <w:wordWrap/>
        <w:overflowPunct/>
        <w:topLinePunct w:val="0"/>
        <w:autoSpaceDE/>
        <w:autoSpaceDN/>
        <w:bidi w:val="0"/>
        <w:adjustRightInd/>
        <w:snapToGrid/>
        <w:jc w:val="left"/>
        <w:textAlignment w:val="auto"/>
        <w:rPr>
          <w:rFonts w:ascii="Times New Roman" w:hAnsi="Times New Roman"/>
          <w:kern w:val="0"/>
          <w:szCs w:val="21"/>
          <w:lang w:val="en-GB"/>
        </w:rPr>
      </w:pPr>
      <w:r>
        <w:rPr>
          <w:rFonts w:ascii="Times New Roman" w:hAnsi="Times New Roman" w:eastAsia="新宋体"/>
          <w:b/>
          <w:bCs/>
          <w:kern w:val="0"/>
          <w:szCs w:val="21"/>
        </w:rPr>
        <w:t>[Results]</w:t>
      </w:r>
      <w:r>
        <w:rPr>
          <w:rStyle w:val="12"/>
          <w:rFonts w:hint="eastAsia" w:ascii="Times New Roman" w:hAnsi="Times New Roman"/>
          <w:shd w:val="clear" w:color="auto" w:fill="FFFFFF"/>
        </w:rPr>
        <w:t>Discussed the house expropriation information integration platform system that takes the basic data of house expropriation as the core and integrates all the links included in the house expropriation process, including project management system, information query system, project supervision system, and expropriation service system</w:t>
      </w:r>
      <w:r>
        <w:rPr>
          <w:rStyle w:val="12"/>
          <w:rFonts w:ascii="Times New Roman" w:hAnsi="Times New Roman"/>
          <w:shd w:val="clear" w:color="auto" w:fill="FFFFFF"/>
        </w:rPr>
        <w:t xml:space="preserve">. </w:t>
      </w:r>
    </w:p>
    <w:p>
      <w:pPr>
        <w:keepNext w:val="0"/>
        <w:keepLines w:val="0"/>
        <w:pageBreakBefore w:val="0"/>
        <w:widowControl/>
        <w:kinsoku/>
        <w:wordWrap/>
        <w:overflowPunct/>
        <w:topLinePunct w:val="0"/>
        <w:autoSpaceDE/>
        <w:autoSpaceDN/>
        <w:bidi w:val="0"/>
        <w:adjustRightInd/>
        <w:snapToGrid/>
        <w:jc w:val="left"/>
        <w:textAlignment w:val="auto"/>
        <w:rPr>
          <w:rStyle w:val="12"/>
          <w:rFonts w:ascii="Times New Roman" w:hAnsi="Times New Roman"/>
          <w:shd w:val="clear" w:color="auto" w:fill="FFFFFF"/>
        </w:rPr>
      </w:pPr>
      <w:r>
        <w:rPr>
          <w:rFonts w:ascii="Times New Roman" w:hAnsi="Times New Roman" w:eastAsia="新宋体"/>
          <w:b/>
          <w:bCs/>
          <w:kern w:val="0"/>
          <w:szCs w:val="21"/>
        </w:rPr>
        <w:t>[</w:t>
      </w:r>
      <w:r>
        <w:rPr>
          <w:rFonts w:ascii="Times New Roman" w:hAnsi="Times New Roman" w:eastAsia="新宋体"/>
          <w:b/>
          <w:bCs/>
          <w:spacing w:val="20"/>
          <w:kern w:val="0"/>
          <w:szCs w:val="21"/>
        </w:rPr>
        <w:t>Limitations</w:t>
      </w:r>
      <w:r>
        <w:rPr>
          <w:rFonts w:ascii="Times New Roman" w:hAnsi="Times New Roman" w:eastAsia="新宋体"/>
          <w:b/>
          <w:bCs/>
          <w:kern w:val="0"/>
          <w:szCs w:val="21"/>
        </w:rPr>
        <w:t>]</w:t>
      </w:r>
      <w:r>
        <w:rPr>
          <w:rStyle w:val="12"/>
          <w:rFonts w:hint="eastAsia" w:ascii="Times New Roman" w:hAnsi="Times New Roman"/>
          <w:shd w:val="clear" w:color="auto" w:fill="FFFFFF"/>
        </w:rPr>
        <w:t>The housing expropriation work model is single, and the information foundation is relatively weak. There are still data barriers, data security, insufficient public participation mechanisms, and insufficient information disclosure in the application of various basic data.</w:t>
      </w:r>
      <w:r>
        <w:rPr>
          <w:rStyle w:val="12"/>
          <w:rFonts w:ascii="Times New Roman" w:hAnsi="Times New Roman"/>
          <w:shd w:val="clear" w:color="auto" w:fill="FFFFFF"/>
        </w:rPr>
        <w:t xml:space="preserve"> </w:t>
      </w:r>
    </w:p>
    <w:p>
      <w:pPr>
        <w:widowControl/>
        <w:jc w:val="left"/>
        <w:rPr>
          <w:rStyle w:val="12"/>
          <w:rFonts w:hint="eastAsia" w:ascii="Times New Roman" w:hAnsi="Times New Roman"/>
          <w:shd w:val="clear" w:color="auto" w:fill="FFFFFF"/>
        </w:rPr>
      </w:pPr>
      <w:r>
        <w:rPr>
          <w:rFonts w:ascii="Times New Roman" w:hAnsi="Times New Roman" w:eastAsia="新宋体"/>
          <w:b/>
          <w:bCs/>
          <w:kern w:val="0"/>
          <w:szCs w:val="21"/>
        </w:rPr>
        <w:t>[</w:t>
      </w:r>
      <w:r>
        <w:rPr>
          <w:rFonts w:ascii="Times New Roman" w:hAnsi="Times New Roman" w:eastAsia="新宋体"/>
          <w:b/>
          <w:bCs/>
          <w:spacing w:val="20"/>
          <w:kern w:val="0"/>
          <w:szCs w:val="21"/>
        </w:rPr>
        <w:t>Conclusions</w:t>
      </w:r>
      <w:r>
        <w:rPr>
          <w:rFonts w:ascii="Times New Roman" w:hAnsi="Times New Roman" w:eastAsia="新宋体"/>
          <w:b/>
          <w:bCs/>
          <w:kern w:val="0"/>
          <w:szCs w:val="21"/>
        </w:rPr>
        <w:t>]</w:t>
      </w:r>
      <w:r>
        <w:rPr>
          <w:rStyle w:val="12"/>
          <w:rFonts w:hint="eastAsia" w:ascii="Times New Roman" w:hAnsi="Times New Roman"/>
          <w:shd w:val="clear" w:color="auto" w:fill="FFFFFF"/>
        </w:rPr>
        <w:t>Integrating house expropriation data and establishing an integrated house expropriation information platform system is very important for the development of house expropriation work.</w:t>
      </w:r>
    </w:p>
    <w:p>
      <w:pPr>
        <w:widowControl/>
        <w:jc w:val="left"/>
        <w:rPr>
          <w:rFonts w:ascii="Times New Roman" w:hAnsi="Times New Roman" w:eastAsia="新宋体"/>
          <w:kern w:val="0"/>
          <w:szCs w:val="21"/>
        </w:rPr>
      </w:pPr>
      <w:r>
        <w:rPr>
          <w:rFonts w:ascii="Times New Roman" w:hAnsi="Times New Roman" w:eastAsia="新宋体"/>
          <w:b/>
          <w:kern w:val="0"/>
          <w:szCs w:val="21"/>
        </w:rPr>
        <w:t>Keywords</w:t>
      </w:r>
      <w:r>
        <w:rPr>
          <w:rFonts w:ascii="Times New Roman" w:eastAsia="新宋体"/>
          <w:b/>
          <w:kern w:val="0"/>
          <w:szCs w:val="21"/>
        </w:rPr>
        <w:t>：</w:t>
      </w:r>
      <w:r>
        <w:rPr>
          <w:rFonts w:hint="eastAsia" w:ascii="Times New Roman" w:eastAsia="新宋体"/>
          <w:b/>
          <w:kern w:val="0"/>
          <w:szCs w:val="21"/>
          <w:lang w:val="en-US" w:eastAsia="zh-CN"/>
        </w:rPr>
        <w:t xml:space="preserve"> </w:t>
      </w:r>
      <w:r>
        <w:rPr>
          <w:rStyle w:val="12"/>
          <w:rFonts w:hint="eastAsia" w:ascii="Times New Roman" w:hAnsi="Times New Roman"/>
          <w:szCs w:val="21"/>
          <w:shd w:val="clear" w:color="auto" w:fill="FFFFFF"/>
        </w:rPr>
        <w:t>House expropriation</w:t>
      </w:r>
      <w:r>
        <w:rPr>
          <w:rFonts w:ascii="Times New Roman" w:hAnsi="Times New Roman" w:eastAsia="新宋体"/>
          <w:kern w:val="0"/>
          <w:szCs w:val="21"/>
          <w:lang w:val="en-GB"/>
        </w:rPr>
        <w:t xml:space="preserve">  </w:t>
      </w:r>
      <w:r>
        <w:rPr>
          <w:rFonts w:hint="default" w:ascii="Times New Roman" w:hAnsi="Times New Roman" w:eastAsia="新宋体" w:cs="Times New Roman"/>
          <w:kern w:val="0"/>
          <w:szCs w:val="21"/>
          <w:lang w:val="en-GB" w:eastAsia="zh-CN"/>
        </w:rPr>
        <w:t>“</w:t>
      </w:r>
      <w:r>
        <w:rPr>
          <w:rFonts w:hint="default" w:ascii="Times New Roman" w:hAnsi="Times New Roman" w:cs="Times New Roman"/>
          <w:szCs w:val="21"/>
          <w:shd w:val="clear" w:color="auto" w:fill="FFFFFF"/>
        </w:rPr>
        <w:t>Internet+</w:t>
      </w:r>
      <w:r>
        <w:rPr>
          <w:rFonts w:hint="default" w:ascii="Times New Roman" w:hAnsi="Times New Roman" w:eastAsia="新宋体" w:cs="Times New Roman"/>
          <w:kern w:val="0"/>
          <w:szCs w:val="21"/>
          <w:lang w:val="en-GB"/>
        </w:rPr>
        <w:t xml:space="preserve"> </w:t>
      </w:r>
      <w:r>
        <w:rPr>
          <w:rFonts w:hint="default" w:ascii="Times New Roman" w:hAnsi="Times New Roman" w:eastAsia="新宋体" w:cs="Times New Roman"/>
          <w:kern w:val="0"/>
          <w:szCs w:val="21"/>
          <w:lang w:val="en-GB" w:eastAsia="zh-CN"/>
        </w:rPr>
        <w:t>”</w:t>
      </w:r>
      <w:r>
        <w:rPr>
          <w:rFonts w:hint="eastAsia" w:ascii="Times New Roman" w:hAnsi="Times New Roman" w:eastAsia="新宋体" w:cs="Times New Roman"/>
          <w:kern w:val="0"/>
          <w:szCs w:val="21"/>
          <w:lang w:val="en-US" w:eastAsia="zh-CN"/>
        </w:rPr>
        <w:t xml:space="preserve">  </w:t>
      </w:r>
      <w:r>
        <w:rPr>
          <w:rStyle w:val="12"/>
          <w:rFonts w:hint="eastAsia" w:ascii="Times New Roman" w:hAnsi="Times New Roman"/>
          <w:szCs w:val="21"/>
          <w:shd w:val="clear" w:color="auto" w:fill="FFFFFF"/>
        </w:rPr>
        <w:t>Informatization</w:t>
      </w:r>
      <w:r>
        <w:rPr>
          <w:rFonts w:ascii="Times New Roman" w:hAnsi="Times New Roman" w:eastAsia="新宋体"/>
          <w:kern w:val="0"/>
          <w:szCs w:val="21"/>
          <w:lang w:val="en-GB"/>
        </w:rPr>
        <w:t xml:space="preserve">  </w:t>
      </w:r>
      <w:r>
        <w:rPr>
          <w:rFonts w:hint="eastAsia" w:eastAsia="新宋体"/>
          <w:bCs/>
          <w:color w:val="auto"/>
          <w:kern w:val="0"/>
          <w:szCs w:val="21"/>
          <w:lang w:val="en-US" w:eastAsia="zh-CN"/>
        </w:rPr>
        <w:t>PaaS</w:t>
      </w:r>
    </w:p>
    <w:p>
      <w:pPr>
        <w:widowControl/>
        <w:jc w:val="left"/>
        <w:rPr>
          <w:rStyle w:val="12"/>
          <w:rFonts w:ascii="Times New Roman" w:hAnsi="Times New Roman"/>
          <w:shd w:val="clear" w:color="auto" w:fill="FFFFFF"/>
          <w:lang w:val="en-GB"/>
        </w:rPr>
      </w:pPr>
    </w:p>
    <w:p>
      <w:pPr>
        <w:jc w:val="both"/>
        <w:rPr>
          <w:rFonts w:hint="eastAsia" w:ascii="宋体" w:hAnsi="宋体" w:eastAsia="宋体" w:cs="宋体"/>
          <w:b/>
          <w:bCs/>
          <w:color w:val="auto"/>
          <w:sz w:val="21"/>
          <w:szCs w:val="21"/>
          <w:lang w:val="en-US" w:eastAsia="zh-CN"/>
        </w:rPr>
      </w:pPr>
    </w:p>
    <w:p>
      <w:pPr>
        <w:rPr>
          <w:rFonts w:hint="default" w:ascii="Times New Roman" w:hAnsi="Times New Roman" w:cs="Times New Roman" w:eastAsiaTheme="majorEastAsia"/>
          <w:b/>
          <w:bCs/>
          <w:color w:val="auto"/>
          <w:sz w:val="30"/>
          <w:szCs w:val="30"/>
          <w:lang w:val="en-US" w:eastAsia="zh-CN"/>
        </w:rPr>
      </w:pPr>
      <w:r>
        <w:rPr>
          <w:rFonts w:hint="default" w:ascii="Times New Roman" w:hAnsi="Times New Roman" w:cs="Times New Roman" w:eastAsiaTheme="majorEastAsia"/>
          <w:b/>
          <w:bCs/>
          <w:color w:val="auto"/>
          <w:sz w:val="30"/>
          <w:szCs w:val="30"/>
          <w:lang w:val="en-US" w:eastAsia="zh-CN"/>
        </w:rPr>
        <w:t>1  引言</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推进“互联网+政务服务”体系建设，是全面贯彻落实党中央、国务院关于推进政府职能转变、深化行政体制机制改革的重大决策部署，是推进简政放权、放管结合、优化服务改革推向纵深的关键环节。国务院相继出台《关于加快推进“互联网+政务服务”工作的指导意见》、《进一步深化“互联网+政务服务”推进政务服务“一网、一门、一次”改革实施方案的通知》等系列文件。各地区、各部门结合国家相关的政策文件将打造“互联网+政务服务”写进工作任务清单，明确工作任务、责任单位以及阶段性工作目标，这一从国家到地方的责任落实机制，部门与部门间的联动协调机制已然形成。“互联网+政服服务”是政府治理变革的重要能力之一，“互联网+政务服务”通过对政府传统的治理理念、机制、方式进行挑战，为政府治理带来了新的思维模式和工作方式</w:t>
      </w:r>
      <w:r>
        <w:rPr>
          <w:rStyle w:val="9"/>
          <w:rFonts w:hint="default" w:ascii="Times New Roman" w:hAnsi="Times New Roman" w:cs="Times New Roman" w:eastAsiaTheme="minorEastAsia"/>
          <w:b/>
          <w:bCs/>
          <w:color w:val="auto"/>
          <w:sz w:val="24"/>
          <w:szCs w:val="24"/>
        </w:rPr>
        <w:t>[</w:t>
      </w:r>
      <w:r>
        <w:rPr>
          <w:rStyle w:val="9"/>
          <w:rFonts w:hint="default" w:ascii="Times New Roman" w:hAnsi="Times New Roman" w:cs="Times New Roman" w:eastAsiaTheme="minorEastAsia"/>
          <w:b/>
          <w:bCs/>
          <w:color w:val="auto"/>
          <w:sz w:val="24"/>
          <w:szCs w:val="24"/>
        </w:rPr>
        <w:endnoteReference w:id="0"/>
      </w:r>
      <w:r>
        <w:rPr>
          <w:rStyle w:val="9"/>
          <w:rFonts w:hint="default" w:ascii="Times New Roman" w:hAnsi="Times New Roman" w:cs="Times New Roman" w:eastAsiaTheme="minorEastAsia"/>
          <w:b/>
          <w:bCs/>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截至2020年4月，福建省全省网上政务服务大厅办结业务约1.59亿项，全省网上政务服务大厅已入驻省、市、县、乡、村五级依申请政务服务事项22.8万项，其中97%的事项开通网上办理。7041个部门136734个事项实现“一趟不同跑”，195个部门6820个事项实行快递双向全部免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lang w:eastAsia="zh-CN"/>
        </w:rPr>
        <w:t>Y</w:t>
      </w:r>
      <w:r>
        <w:rPr>
          <w:rFonts w:hint="default" w:ascii="Times New Roman" w:hAnsi="Times New Roman" w:cs="Times New Roman" w:eastAsiaTheme="minorEastAsia"/>
          <w:color w:val="auto"/>
          <w:sz w:val="24"/>
          <w:szCs w:val="24"/>
        </w:rPr>
        <w:t>县目前网上办事大厅办事种类分为个人办事、法人办事、部门办事三大类，其中个人办事事项28类，法人办事事项27类，部门办事涉及27个部门。同时提供政务公开、互动交流、帮助中心等板块，其中包括网上信访、网上调查、意见征集、在线访谈等栏目，方便民众足不出户，通过网上大厅办理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伴随着城镇化的快速推进，对城市的土地规划使用、基础设施建设以及住房条件的改善都提出了更高要求，而房屋征收正是推动城市建设实现更快更好发展的关键一环。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福建省</w:t>
      </w:r>
      <w:r>
        <w:rPr>
          <w:rFonts w:hint="default" w:ascii="Times New Roman" w:hAnsi="Times New Roman" w:cs="Times New Roman" w:eastAsiaTheme="minorEastAsia"/>
          <w:color w:val="auto"/>
          <w:sz w:val="24"/>
          <w:szCs w:val="24"/>
          <w:lang w:eastAsia="zh-CN"/>
        </w:rPr>
        <w:t>Y</w:t>
      </w:r>
      <w:r>
        <w:rPr>
          <w:rFonts w:hint="default" w:ascii="Times New Roman" w:hAnsi="Times New Roman" w:cs="Times New Roman" w:eastAsiaTheme="minorEastAsia"/>
          <w:color w:val="auto"/>
          <w:sz w:val="24"/>
          <w:szCs w:val="24"/>
        </w:rPr>
        <w:t>县近年来地区经济高速发展，全县亿元以上投资项目50余项，年均房屋征收任务量20余万平方米，现阶段已将中心老城区的部分功能性场所及设施转移至新城区，包括集中政府多个部门的南城办公楼、行政服务中心、动车站、综合性文化服务场馆、大型星级酒店等，接下来还将把农贸市场、汽车站、综合性商场等落地新城区，这一系列项目落地、投产的背后都离不开房屋征收工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但现阶段房屋征收工作仍存在一些问题，包括房屋征收管理工作方式陈旧，信息化水平不高，在档案等数据信息管理方面仍多数采取传统的人工+纸质的管理模式，诸多现实问题给房屋征收工作带来了很大制约。</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ajorEastAsia"/>
          <w:b/>
          <w:bCs/>
          <w:color w:val="auto"/>
          <w:sz w:val="30"/>
          <w:szCs w:val="30"/>
          <w:lang w:val="en-US" w:eastAsia="zh-CN"/>
        </w:rPr>
      </w:pPr>
      <w:r>
        <w:rPr>
          <w:rFonts w:hint="default" w:ascii="Times New Roman" w:hAnsi="Times New Roman" w:cs="Times New Roman" w:eastAsiaTheme="majorEastAsia"/>
          <w:b/>
          <w:bCs/>
          <w:color w:val="auto"/>
          <w:sz w:val="30"/>
          <w:szCs w:val="30"/>
          <w:lang w:val="en-US" w:eastAsia="zh-CN"/>
        </w:rPr>
        <w:t>2  Y县在推进房屋征收信息化一体化平台过程中需解决的问题</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default" w:ascii="Times New Roman" w:hAnsi="Times New Roman" w:cs="Times New Roman"/>
          <w:b/>
          <w:bCs/>
          <w:color w:val="auto"/>
          <w:sz w:val="28"/>
          <w:szCs w:val="28"/>
          <w:lang w:val="en-US" w:eastAsia="zh-CN"/>
        </w:rPr>
        <w:t>2.1</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rPr>
        <w:t>数据壁垒</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长期以来由于政府条块化得分割体制，政务信息资源在开发上缺乏统一规划，重复投资、重复建设现象普遍，呈现明显的“部门化”格局，形成了一个个的“信息孤岛”。并且在信息的日常管理当中，各部门、各行业间的信息系统往往又自成体系，造成巨大的“数据烟囱”，使得数据沟通、交流困难，数据难以互通共享</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1"/>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房地产价格数据壁垒便是一种表现形式。近年来房地产市场繁荣发展，房地产价格总体变化呈现上涨趋势，部分房地产成交价格无法真正公开透明。例如</w:t>
      </w:r>
      <w:r>
        <w:rPr>
          <w:rFonts w:hint="default" w:ascii="Times New Roman" w:hAnsi="Times New Roman" w:cs="Times New Roman"/>
          <w:color w:val="auto"/>
          <w:sz w:val="24"/>
          <w:szCs w:val="24"/>
          <w:lang w:eastAsia="zh-CN"/>
        </w:rPr>
        <w:t>：</w:t>
      </w:r>
      <w:r>
        <w:rPr>
          <w:rFonts w:hint="default" w:ascii="Times New Roman" w:hAnsi="Times New Roman" w:cs="Times New Roman" w:eastAsiaTheme="minorEastAsia"/>
          <w:color w:val="auto"/>
          <w:sz w:val="24"/>
          <w:szCs w:val="24"/>
        </w:rPr>
        <w:t>在不动产交易登记中心，查询多数房产成交价格明显偏低，数据背后受到过多的人为因素影响。现实中如果房地产土地价值评估公司，需要对某一商品房或者被征收房屋价值进行市场价值评估，通常需要向当地的房产中介公司支付一定费用，来购买相对真实的商品房成交价格实例用于评估。政府相关部门、房地产企业、房屋中介公司之间缺乏统一的价格数据登记系统，房地产的数据登记和填报过程中的虚假数据登记现象形成的数据壁垒</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直接导致了房产相关部门在统计数据时产生偏差，无法客观真实的反映当前房产价值信息，间接影响了房屋征收过程中所涉及到的市场价值评估等环节。</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lang w:val="en-US" w:eastAsia="zh-CN"/>
        </w:rPr>
        <w:t>2.</w:t>
      </w:r>
      <w:r>
        <w:rPr>
          <w:rFonts w:hint="eastAsia" w:ascii="Times New Roman" w:hAnsi="Times New Roman" w:cs="Times New Roman" w:eastAsiaTheme="minorEastAsia"/>
          <w:b/>
          <w:bCs/>
          <w:color w:val="auto"/>
          <w:sz w:val="28"/>
          <w:szCs w:val="28"/>
          <w:lang w:val="en-US" w:eastAsia="zh-CN"/>
        </w:rPr>
        <w:t xml:space="preserve">2  </w:t>
      </w:r>
      <w:r>
        <w:rPr>
          <w:rFonts w:hint="default" w:ascii="Times New Roman" w:hAnsi="Times New Roman" w:cs="Times New Roman" w:eastAsiaTheme="minorEastAsia"/>
          <w:b/>
          <w:bCs/>
          <w:color w:val="auto"/>
          <w:sz w:val="28"/>
          <w:szCs w:val="28"/>
        </w:rPr>
        <w:t>信息安全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我国已经有关于互联网信息安全方面的相关立法，但在</w:t>
      </w:r>
      <w:r>
        <w:rPr>
          <w:rFonts w:hint="default" w:ascii="Times New Roman" w:hAnsi="Times New Roman" w:cs="Times New Roman" w:eastAsiaTheme="minorEastAsia"/>
          <w:color w:val="auto"/>
          <w:sz w:val="24"/>
          <w:szCs w:val="24"/>
          <w:lang w:val="en-US" w:eastAsia="zh-CN"/>
        </w:rPr>
        <w:t>具体</w:t>
      </w:r>
      <w:r>
        <w:rPr>
          <w:rFonts w:hint="default" w:ascii="Times New Roman" w:hAnsi="Times New Roman" w:cs="Times New Roman" w:eastAsiaTheme="minorEastAsia"/>
          <w:color w:val="auto"/>
          <w:sz w:val="24"/>
          <w:szCs w:val="24"/>
        </w:rPr>
        <w:t>领域</w:t>
      </w:r>
      <w:r>
        <w:rPr>
          <w:rFonts w:hint="default" w:ascii="Times New Roman" w:hAnsi="Times New Roman" w:cs="Times New Roman" w:eastAsiaTheme="minorEastAsia"/>
          <w:color w:val="auto"/>
          <w:sz w:val="24"/>
          <w:szCs w:val="24"/>
          <w:lang w:val="en-US" w:eastAsia="zh-CN"/>
        </w:rPr>
        <w:t>应用中</w:t>
      </w:r>
      <w:r>
        <w:rPr>
          <w:rFonts w:hint="default" w:ascii="Times New Roman" w:hAnsi="Times New Roman" w:cs="Times New Roman" w:eastAsiaTheme="minorEastAsia"/>
          <w:color w:val="auto"/>
          <w:sz w:val="24"/>
          <w:szCs w:val="24"/>
        </w:rPr>
        <w:t>仍然不够完善</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许多信息系统没有按等级保护的要求来建</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信息一体化平台架设初期缺乏统一的规范性指标，各部门应用平台叠加、接口不通等都让部门间的数据共享产生安全性、保密性等</w:t>
      </w:r>
      <w:r>
        <w:rPr>
          <w:rFonts w:hint="default" w:ascii="Times New Roman" w:hAnsi="Times New Roman" w:cs="Times New Roman" w:eastAsiaTheme="minorEastAsia"/>
          <w:color w:val="auto"/>
          <w:sz w:val="24"/>
          <w:szCs w:val="24"/>
          <w:lang w:val="en-US" w:eastAsia="zh-CN"/>
        </w:rPr>
        <w:t>问题</w:t>
      </w:r>
      <w:r>
        <w:rPr>
          <w:rFonts w:hint="default" w:ascii="Times New Roman" w:hAnsi="Times New Roman" w:cs="Times New Roman" w:eastAsiaTheme="minorEastAsia"/>
          <w:color w:val="auto"/>
          <w:sz w:val="24"/>
          <w:szCs w:val="24"/>
        </w:rPr>
        <w:t>，联动实施效果仍不理想。具体而言</w:t>
      </w:r>
      <w:r>
        <w:rPr>
          <w:rFonts w:hint="default" w:ascii="Times New Roman" w:hAnsi="Times New Roman"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针对</w:t>
      </w:r>
      <w:r>
        <w:rPr>
          <w:rFonts w:hint="default" w:ascii="Times New Roman" w:hAnsi="Times New Roman" w:cs="Times New Roman" w:eastAsiaTheme="minorEastAsia"/>
          <w:color w:val="auto"/>
          <w:sz w:val="24"/>
          <w:szCs w:val="24"/>
          <w:lang w:val="en-US" w:eastAsia="zh-CN"/>
        </w:rPr>
        <w:t>房屋征收</w:t>
      </w:r>
      <w:r>
        <w:rPr>
          <w:rFonts w:hint="default" w:ascii="Times New Roman" w:hAnsi="Times New Roman" w:cs="Times New Roman" w:eastAsiaTheme="minorEastAsia"/>
          <w:color w:val="auto"/>
          <w:sz w:val="24"/>
          <w:szCs w:val="24"/>
        </w:rPr>
        <w:t>领域来整合各部门的数据时，基于前期在开发</w:t>
      </w:r>
      <w:r>
        <w:rPr>
          <w:rFonts w:hint="default" w:ascii="Times New Roman" w:hAnsi="Times New Roman" w:cs="Times New Roman" w:eastAsiaTheme="minorEastAsia"/>
          <w:color w:val="auto"/>
          <w:sz w:val="24"/>
          <w:szCs w:val="24"/>
          <w:lang w:val="en-US" w:eastAsia="zh-CN"/>
        </w:rPr>
        <w:t>各</w:t>
      </w:r>
      <w:r>
        <w:rPr>
          <w:rFonts w:hint="default" w:ascii="Times New Roman" w:hAnsi="Times New Roman" w:cs="Times New Roman" w:eastAsiaTheme="minorEastAsia"/>
          <w:color w:val="auto"/>
          <w:sz w:val="24"/>
          <w:szCs w:val="24"/>
        </w:rPr>
        <w:t>部门的相应政务应用系统时，往往都是由不同的第三方开发商独立进行开发，其中所使用的技术体系和架构不尽相同。不同的技术体系</w:t>
      </w:r>
      <w:r>
        <w:rPr>
          <w:rFonts w:hint="default" w:ascii="Times New Roman" w:hAnsi="Times New Roman" w:cs="Times New Roman" w:eastAsiaTheme="minorEastAsia"/>
          <w:color w:val="auto"/>
          <w:sz w:val="24"/>
          <w:szCs w:val="24"/>
          <w:lang w:val="en-US" w:eastAsia="zh-CN"/>
        </w:rPr>
        <w:t>导致</w:t>
      </w:r>
      <w:r>
        <w:rPr>
          <w:rFonts w:hint="default" w:ascii="Times New Roman" w:hAnsi="Times New Roman" w:cs="Times New Roman" w:eastAsiaTheme="minorEastAsia"/>
          <w:color w:val="auto"/>
          <w:sz w:val="24"/>
          <w:szCs w:val="24"/>
        </w:rPr>
        <w:t>的问题是，在这些系统之间需要相互调用获取数据时，由于没有采用规范的形式提供数据接口和服务，从而</w:t>
      </w:r>
      <w:r>
        <w:rPr>
          <w:rFonts w:hint="default" w:ascii="Times New Roman" w:hAnsi="Times New Roman" w:cs="Times New Roman" w:eastAsiaTheme="minorEastAsia"/>
          <w:color w:val="auto"/>
          <w:sz w:val="24"/>
          <w:szCs w:val="24"/>
          <w:lang w:val="en-US" w:eastAsia="zh-CN"/>
        </w:rPr>
        <w:t>影响</w:t>
      </w:r>
      <w:r>
        <w:rPr>
          <w:rFonts w:hint="default" w:ascii="Times New Roman" w:hAnsi="Times New Roman" w:cs="Times New Roman" w:eastAsiaTheme="minorEastAsia"/>
          <w:color w:val="auto"/>
          <w:sz w:val="24"/>
          <w:szCs w:val="24"/>
        </w:rPr>
        <w:t>获取数据困难</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造成难以共享</w:t>
      </w:r>
      <w:r>
        <w:rPr>
          <w:rFonts w:hint="default" w:ascii="Times New Roman" w:hAnsi="Times New Roman" w:cs="Times New Roman" w:eastAsiaTheme="minorEastAsia"/>
          <w:color w:val="auto"/>
          <w:sz w:val="24"/>
          <w:szCs w:val="24"/>
        </w:rPr>
        <w:t>。技术体系</w:t>
      </w:r>
      <w:r>
        <w:rPr>
          <w:rFonts w:hint="default" w:ascii="Times New Roman" w:hAnsi="Times New Roman" w:cs="Times New Roman" w:eastAsiaTheme="minorEastAsia"/>
          <w:color w:val="auto"/>
          <w:sz w:val="24"/>
          <w:szCs w:val="24"/>
          <w:lang w:val="en-US" w:eastAsia="zh-CN"/>
        </w:rPr>
        <w:t>不同</w:t>
      </w:r>
      <w:r>
        <w:rPr>
          <w:rFonts w:hint="default" w:ascii="Times New Roman" w:hAnsi="Times New Roman" w:cs="Times New Roman" w:eastAsiaTheme="minorEastAsia"/>
          <w:color w:val="auto"/>
          <w:sz w:val="24"/>
          <w:szCs w:val="24"/>
        </w:rPr>
        <w:t>带来的另一个问题是，在需要将多个应用系统进行整合时，</w:t>
      </w:r>
      <w:r>
        <w:rPr>
          <w:rFonts w:hint="default" w:ascii="Times New Roman" w:hAnsi="Times New Roman" w:cs="Times New Roman" w:eastAsiaTheme="minorEastAsia"/>
          <w:color w:val="auto"/>
          <w:sz w:val="24"/>
          <w:szCs w:val="24"/>
          <w:lang w:val="en-US" w:eastAsia="zh-CN"/>
        </w:rPr>
        <w:t>不同</w:t>
      </w:r>
      <w:r>
        <w:rPr>
          <w:rFonts w:hint="default" w:ascii="Times New Roman" w:hAnsi="Times New Roman" w:cs="Times New Roman" w:eastAsiaTheme="minorEastAsia"/>
          <w:color w:val="auto"/>
          <w:sz w:val="24"/>
          <w:szCs w:val="24"/>
        </w:rPr>
        <w:t>体系之间无法</w:t>
      </w:r>
      <w:r>
        <w:rPr>
          <w:rFonts w:hint="default" w:ascii="Times New Roman" w:hAnsi="Times New Roman" w:cs="Times New Roman" w:eastAsiaTheme="minorEastAsia"/>
          <w:color w:val="auto"/>
          <w:sz w:val="24"/>
          <w:szCs w:val="24"/>
          <w:lang w:val="en-US" w:eastAsia="zh-CN"/>
        </w:rPr>
        <w:t>互相</w:t>
      </w:r>
      <w:r>
        <w:rPr>
          <w:rFonts w:hint="default" w:ascii="Times New Roman" w:hAnsi="Times New Roman" w:cs="Times New Roman" w:eastAsiaTheme="minorEastAsia"/>
          <w:color w:val="auto"/>
          <w:sz w:val="24"/>
          <w:szCs w:val="24"/>
        </w:rPr>
        <w:t>兼容。同时长期以来缺乏数据共享机制</w:t>
      </w:r>
      <w:r>
        <w:rPr>
          <w:rFonts w:hint="default" w:ascii="Times New Roman" w:hAnsi="Times New Roman" w:cs="Times New Roman" w:eastAsiaTheme="minorEastAsia"/>
          <w:color w:val="auto"/>
          <w:sz w:val="24"/>
          <w:szCs w:val="24"/>
          <w:lang w:val="en-US" w:eastAsia="zh-CN"/>
        </w:rPr>
        <w:t>以及各类</w:t>
      </w:r>
      <w:r>
        <w:rPr>
          <w:rFonts w:hint="default" w:ascii="Times New Roman" w:hAnsi="Times New Roman" w:cs="Times New Roman" w:eastAsiaTheme="minorEastAsia"/>
          <w:color w:val="auto"/>
          <w:sz w:val="24"/>
          <w:szCs w:val="24"/>
        </w:rPr>
        <w:t>安全</w:t>
      </w:r>
      <w:r>
        <w:rPr>
          <w:rFonts w:hint="default" w:ascii="Times New Roman" w:hAnsi="Times New Roman" w:cs="Times New Roman" w:eastAsiaTheme="minorEastAsia"/>
          <w:color w:val="auto"/>
          <w:sz w:val="24"/>
          <w:szCs w:val="24"/>
          <w:lang w:val="en-US" w:eastAsia="zh-CN"/>
        </w:rPr>
        <w:t>隐患</w:t>
      </w:r>
      <w:r>
        <w:rPr>
          <w:rFonts w:hint="default" w:ascii="Times New Roman" w:hAnsi="Times New Roman" w:cs="Times New Roman" w:eastAsiaTheme="minorEastAsia"/>
          <w:color w:val="auto"/>
          <w:sz w:val="24"/>
          <w:szCs w:val="24"/>
        </w:rPr>
        <w:t>，个人信息库等都是由单一部门负责</w:t>
      </w:r>
      <w:r>
        <w:rPr>
          <w:rFonts w:hint="default" w:ascii="Times New Roman" w:hAnsi="Times New Roman" w:cs="Times New Roman" w:eastAsiaTheme="minorEastAsia"/>
          <w:color w:val="auto"/>
          <w:sz w:val="24"/>
          <w:szCs w:val="24"/>
          <w:lang w:val="en-US" w:eastAsia="zh-CN"/>
        </w:rPr>
        <w:t>管理</w:t>
      </w:r>
      <w:r>
        <w:rPr>
          <w:rFonts w:hint="default" w:ascii="Times New Roman" w:hAnsi="Times New Roman" w:cs="Times New Roman" w:eastAsiaTheme="minorEastAsia"/>
          <w:color w:val="auto"/>
          <w:sz w:val="24"/>
          <w:szCs w:val="24"/>
        </w:rPr>
        <w:t>的，获取个人信息</w:t>
      </w:r>
      <w:r>
        <w:rPr>
          <w:rFonts w:hint="default" w:ascii="Times New Roman" w:hAnsi="Times New Roman" w:cs="Times New Roman" w:eastAsiaTheme="minorEastAsia"/>
          <w:color w:val="auto"/>
          <w:sz w:val="24"/>
          <w:szCs w:val="24"/>
          <w:lang w:val="en-US" w:eastAsia="zh-CN"/>
        </w:rPr>
        <w:t>较为</w:t>
      </w:r>
      <w:r>
        <w:rPr>
          <w:rFonts w:hint="default" w:ascii="Times New Roman" w:hAnsi="Times New Roman" w:cs="Times New Roman" w:eastAsiaTheme="minorEastAsia"/>
          <w:color w:val="auto"/>
          <w:sz w:val="24"/>
          <w:szCs w:val="24"/>
        </w:rPr>
        <w:t>困难</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2"/>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作为一个政务信息平台系统，其本身对于安全性比普通应用系统</w:t>
      </w:r>
      <w:r>
        <w:rPr>
          <w:rFonts w:hint="default" w:ascii="Times New Roman" w:hAnsi="Times New Roman" w:cs="Times New Roman" w:eastAsiaTheme="minorEastAsia"/>
          <w:color w:val="auto"/>
          <w:sz w:val="24"/>
          <w:szCs w:val="24"/>
          <w:lang w:val="en-US" w:eastAsia="zh-CN"/>
        </w:rPr>
        <w:t>有着</w:t>
      </w:r>
      <w:r>
        <w:rPr>
          <w:rFonts w:hint="default" w:ascii="Times New Roman" w:hAnsi="Times New Roman" w:cs="Times New Roman" w:eastAsiaTheme="minorEastAsia"/>
          <w:color w:val="auto"/>
          <w:sz w:val="24"/>
          <w:szCs w:val="24"/>
        </w:rPr>
        <w:t>更高的需求，安全性需求是在保证系统功能需求、性能需求的基础上的更高要求。</w:t>
      </w:r>
      <w:r>
        <w:rPr>
          <w:rFonts w:hint="default" w:ascii="Times New Roman" w:hAnsi="Times New Roman" w:cs="Times New Roman" w:eastAsiaTheme="minorEastAsia"/>
          <w:color w:val="auto"/>
          <w:sz w:val="24"/>
          <w:szCs w:val="24"/>
          <w:lang w:val="en-US" w:eastAsia="zh-CN"/>
        </w:rPr>
        <w:t>导致现有政务平台安全问题的因素有以下几方面，即</w:t>
      </w:r>
      <w:r>
        <w:rPr>
          <w:rFonts w:hint="default" w:ascii="Times New Roman" w:hAnsi="Times New Roman" w:cs="Times New Roman" w:eastAsiaTheme="minorEastAsia"/>
          <w:color w:val="auto"/>
          <w:sz w:val="24"/>
          <w:szCs w:val="24"/>
        </w:rPr>
        <w:t>缺乏统一的规范性指标，各部门应用平台叠加、接口不通，未明确划分出不同系统管理人员和角色的职责界限、接口的调用控制权限、也无法对数据传输过程操作变更进行后台记录等，缺少以上的相应制度，便很容易产生数据安全性和保密性问题。</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lang w:val="en-US" w:eastAsia="zh-CN"/>
        </w:rPr>
        <w:t>2.</w:t>
      </w:r>
      <w:r>
        <w:rPr>
          <w:rFonts w:hint="eastAsia" w:ascii="Times New Roman" w:hAnsi="Times New Roman" w:cs="Times New Roman"/>
          <w:b/>
          <w:bCs/>
          <w:color w:val="auto"/>
          <w:sz w:val="28"/>
          <w:szCs w:val="28"/>
          <w:lang w:val="en-US" w:eastAsia="zh-CN"/>
        </w:rPr>
        <w:t>3</w:t>
      </w:r>
      <w:r>
        <w:rPr>
          <w:rFonts w:hint="eastAsia" w:ascii="Times New Roman" w:hAnsi="Times New Roman" w:cs="Times New Roman" w:eastAsiaTheme="minorEastAsia"/>
          <w:b/>
          <w:bCs/>
          <w:color w:val="auto"/>
          <w:sz w:val="28"/>
          <w:szCs w:val="28"/>
          <w:lang w:val="en-US" w:eastAsia="zh-CN"/>
        </w:rPr>
        <w:t xml:space="preserve">  </w:t>
      </w:r>
      <w:r>
        <w:rPr>
          <w:rFonts w:hint="default" w:ascii="Times New Roman" w:hAnsi="Times New Roman" w:cs="Times New Roman" w:eastAsiaTheme="minorEastAsia"/>
          <w:b/>
          <w:bCs/>
          <w:color w:val="auto"/>
          <w:sz w:val="28"/>
          <w:szCs w:val="28"/>
        </w:rPr>
        <w:t>房屋征收公众参与机制不足</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房屋征收活动离不开公众的参与，《国有土地上房屋征收与补偿条例》中对公众参与的相关规定仍处于初级阶段，公众参与的实际效果未能很好体现。传统的房屋征收工作形式弱化了公众参与机制。“重结果，轻程序”的现象普遍存在</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3"/>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一般来说，房屋征收需要经过项目立项、用地审批、制定征收补偿方案再到实施征收的一个过程。在这个过程中，房屋征收的前置环节中缺少了公众参与。当前的公众参与房屋征收更多的存在于征收补偿方案制定之后，征求意见的不少于30天的公示期，公众在较短的时间范围和有限的环节参与，难以发挥作用。大部分公众参与只是对一些已成定局的事实进行参与。例如</w:t>
      </w:r>
      <w:r>
        <w:rPr>
          <w:rFonts w:hint="default" w:ascii="Times New Roman" w:hAnsi="Times New Roman" w:cs="Times New Roman"/>
          <w:color w:val="auto"/>
          <w:sz w:val="24"/>
          <w:szCs w:val="24"/>
          <w:lang w:eastAsia="zh-CN"/>
        </w:rPr>
        <w:t>：</w:t>
      </w:r>
      <w:r>
        <w:rPr>
          <w:rFonts w:hint="default" w:ascii="Times New Roman" w:hAnsi="Times New Roman" w:cs="Times New Roman" w:eastAsiaTheme="minorEastAsia"/>
          <w:color w:val="auto"/>
          <w:sz w:val="24"/>
          <w:szCs w:val="24"/>
        </w:rPr>
        <w:t>在房屋征收部门获得用地审批的过程中公众没有参与的空间，而用地审批一旦通过就直接</w:t>
      </w:r>
      <w:r>
        <w:rPr>
          <w:rFonts w:hint="default" w:ascii="Times New Roman" w:hAnsi="Times New Roman" w:cs="Times New Roman" w:eastAsiaTheme="minorEastAsia"/>
          <w:color w:val="auto"/>
          <w:sz w:val="24"/>
          <w:szCs w:val="24"/>
          <w:lang w:val="en-US" w:eastAsia="zh-CN"/>
        </w:rPr>
        <w:t>启动</w:t>
      </w:r>
      <w:r>
        <w:rPr>
          <w:rFonts w:hint="default" w:ascii="Times New Roman" w:hAnsi="Times New Roman" w:cs="Times New Roman" w:eastAsiaTheme="minorEastAsia"/>
          <w:color w:val="auto"/>
          <w:sz w:val="24"/>
          <w:szCs w:val="24"/>
        </w:rPr>
        <w:t>房屋征收工作。同时参与者多为直接利益相关者，间接利益相关者并未完全认识到其参与</w:t>
      </w:r>
      <w:r>
        <w:rPr>
          <w:rFonts w:hint="default" w:ascii="Times New Roman" w:hAnsi="Times New Roman" w:cs="Times New Roman" w:eastAsiaTheme="minorEastAsia"/>
          <w:color w:val="auto"/>
          <w:sz w:val="24"/>
          <w:szCs w:val="24"/>
          <w:lang w:val="en-US" w:eastAsia="zh-CN"/>
        </w:rPr>
        <w:t>到房屋征收</w:t>
      </w:r>
      <w:r>
        <w:rPr>
          <w:rFonts w:hint="default" w:ascii="Times New Roman" w:hAnsi="Times New Roman" w:cs="Times New Roman" w:eastAsiaTheme="minorEastAsia"/>
          <w:color w:val="auto"/>
          <w:sz w:val="24"/>
          <w:szCs w:val="24"/>
        </w:rPr>
        <w:t>的必要性与重要性。公众普遍认为</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只要不征收自己的房屋，就与自己无关，无需关注。这也导致了现阶段的公众参与机制发挥作用有限，参与主体的多样性不足</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4"/>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default" w:ascii="Times New Roman" w:hAnsi="Times New Roman" w:cs="Times New Roman" w:eastAsiaTheme="minorEastAsia"/>
          <w:b/>
          <w:bCs/>
          <w:color w:val="auto"/>
          <w:sz w:val="28"/>
          <w:szCs w:val="28"/>
          <w:lang w:val="en-US" w:eastAsia="zh-CN"/>
        </w:rPr>
        <w:t>2.</w:t>
      </w:r>
      <w:r>
        <w:rPr>
          <w:rFonts w:hint="eastAsia" w:ascii="Times New Roman" w:hAnsi="Times New Roman" w:cs="Times New Roman"/>
          <w:b/>
          <w:bCs/>
          <w:color w:val="auto"/>
          <w:sz w:val="28"/>
          <w:szCs w:val="28"/>
          <w:lang w:val="en-US" w:eastAsia="zh-CN"/>
        </w:rPr>
        <w:t>4</w:t>
      </w:r>
      <w:r>
        <w:rPr>
          <w:rFonts w:hint="eastAsia" w:ascii="Times New Roman" w:hAnsi="Times New Roman" w:cs="Times New Roman" w:eastAsiaTheme="minorEastAsia"/>
          <w:b/>
          <w:bCs/>
          <w:color w:val="auto"/>
          <w:sz w:val="28"/>
          <w:szCs w:val="28"/>
          <w:lang w:val="en-US" w:eastAsia="zh-CN"/>
        </w:rPr>
        <w:t xml:space="preserve">  </w:t>
      </w:r>
      <w:r>
        <w:rPr>
          <w:rFonts w:hint="default" w:ascii="Times New Roman" w:hAnsi="Times New Roman" w:cs="Times New Roman" w:eastAsiaTheme="minorEastAsia"/>
          <w:b/>
          <w:bCs/>
          <w:color w:val="auto"/>
          <w:sz w:val="28"/>
          <w:szCs w:val="28"/>
        </w:rPr>
        <w:t>信息公开不充分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传统房屋征收公开形式较为简单，在工作当中多数还是要当前房屋征收公开的内容还属于过程性、基础性的信息。信息公开过程中未能充分考虑公众需求，造成</w:t>
      </w:r>
      <w:r>
        <w:rPr>
          <w:rFonts w:hint="default" w:ascii="Times New Roman" w:hAnsi="Times New Roman" w:cs="Times New Roman" w:eastAsiaTheme="minorEastAsia"/>
          <w:color w:val="auto"/>
          <w:sz w:val="24"/>
          <w:szCs w:val="24"/>
          <w:lang w:val="en-US" w:eastAsia="zh-CN"/>
        </w:rPr>
        <w:t>房屋征收</w:t>
      </w:r>
      <w:r>
        <w:rPr>
          <w:rFonts w:hint="default" w:ascii="Times New Roman" w:hAnsi="Times New Roman" w:cs="Times New Roman" w:eastAsiaTheme="minorEastAsia"/>
          <w:color w:val="auto"/>
          <w:sz w:val="24"/>
          <w:szCs w:val="24"/>
        </w:rPr>
        <w:t>信息公开供给与公众对信息需求不匹配。已公开信息的内容单一，公开深度不足，很难将信息全面、准确的提供给公众，尤其是针对一些需要重点公开的问题未能公开，模糊部分已公开的重点问题</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5"/>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。信息公开手段还处于较低的水平，通常采取张贴公告，门户网站公开等传统形式，群众知晓率较低。直接导致房屋征收相关信息无法及时的传达，实际工作中常会出现信息传达遗漏、信息不匹配等问题。</w:t>
      </w:r>
    </w:p>
    <w:p>
      <w:pPr>
        <w:keepNext w:val="0"/>
        <w:keepLines w:val="0"/>
        <w:pageBreakBefore w:val="0"/>
        <w:widowControl w:val="0"/>
        <w:kinsoku/>
        <w:wordWrap/>
        <w:overflowPunct/>
        <w:topLinePunct w:val="0"/>
        <w:autoSpaceDE/>
        <w:autoSpaceDN/>
        <w:bidi w:val="0"/>
        <w:adjustRightInd/>
        <w:snapToGrid/>
        <w:textAlignment w:val="auto"/>
        <w:rPr>
          <w:rFonts w:hint="eastAsia" w:asciiTheme="majorEastAsia" w:hAnsiTheme="majorEastAsia" w:eastAsiaTheme="majorEastAsia" w:cstheme="majorEastAsia"/>
          <w:b/>
          <w:bCs/>
          <w:color w:val="auto"/>
          <w:sz w:val="30"/>
          <w:szCs w:val="30"/>
          <w:lang w:val="en-US" w:eastAsia="zh-CN"/>
        </w:rPr>
      </w:pPr>
      <w:r>
        <w:rPr>
          <w:rFonts w:hint="eastAsia" w:asciiTheme="majorEastAsia" w:hAnsiTheme="majorEastAsia" w:eastAsiaTheme="majorEastAsia" w:cstheme="majorEastAsia"/>
          <w:b/>
          <w:bCs/>
          <w:color w:val="auto"/>
          <w:sz w:val="30"/>
          <w:szCs w:val="30"/>
          <w:lang w:val="en-US" w:eastAsia="zh-CN"/>
        </w:rPr>
        <w:t>3  房屋征收一体化信息服务平台建设的具体措施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满足房屋征收管理过程中不同主体对信息化的不同属性要求，在平台建设过程中需要针对具体的主体结构进行综合调整，建立适合工作人员和被征收人等权益人共同使用的信息化服务平台。</w:t>
      </w:r>
      <w:r>
        <w:rPr>
          <w:rFonts w:hint="default" w:ascii="Times New Roman" w:hAnsi="Times New Roman" w:cs="Times New Roman" w:eastAsiaTheme="minorEastAsia"/>
          <w:color w:val="auto"/>
          <w:sz w:val="24"/>
          <w:szCs w:val="24"/>
          <w:lang w:eastAsia="zh-CN"/>
        </w:rPr>
        <w:t>Y</w:t>
      </w:r>
      <w:r>
        <w:rPr>
          <w:rFonts w:hint="default" w:ascii="Times New Roman" w:hAnsi="Times New Roman" w:cs="Times New Roman" w:eastAsiaTheme="minorEastAsia"/>
          <w:color w:val="auto"/>
          <w:sz w:val="24"/>
          <w:szCs w:val="24"/>
        </w:rPr>
        <w:t>县房屋征收工作信息化起步较晚，所以政府在房屋征收管理信息化建设过程中需要多调研学习</w:t>
      </w:r>
      <w:r>
        <w:rPr>
          <w:rFonts w:hint="default" w:ascii="Times New Roman" w:hAnsi="Times New Roman" w:cs="Times New Roman" w:eastAsiaTheme="minorEastAsia"/>
          <w:color w:val="auto"/>
          <w:sz w:val="24"/>
          <w:szCs w:val="24"/>
          <w:lang w:val="en-US" w:eastAsia="zh-CN"/>
        </w:rPr>
        <w:t>其他地区</w:t>
      </w:r>
      <w:r>
        <w:rPr>
          <w:rFonts w:hint="default" w:ascii="Times New Roman" w:hAnsi="Times New Roman" w:cs="Times New Roman" w:eastAsiaTheme="minorEastAsia"/>
          <w:color w:val="auto"/>
          <w:sz w:val="24"/>
          <w:szCs w:val="24"/>
        </w:rPr>
        <w:t>成功经验，但也要结合地区实际情况，不能生搬硬套，切实提高房屋征收信息化在工作中适用性。</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eastAsia" w:ascii="Times New Roman" w:hAnsi="Times New Roman" w:cs="Times New Roman"/>
          <w:b/>
          <w:bCs/>
          <w:color w:val="auto"/>
          <w:sz w:val="28"/>
          <w:szCs w:val="28"/>
          <w:lang w:val="en-US" w:eastAsia="zh-CN"/>
        </w:rPr>
        <w:t>3</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1</w:t>
      </w:r>
      <w:r>
        <w:rPr>
          <w:rFonts w:hint="eastAsia" w:ascii="Times New Roman" w:hAnsi="Times New Roman" w:cs="Times New Roman" w:eastAsiaTheme="minorEastAsia"/>
          <w:b/>
          <w:bCs/>
          <w:color w:val="auto"/>
          <w:sz w:val="28"/>
          <w:szCs w:val="28"/>
          <w:lang w:val="en-US" w:eastAsia="zh-CN"/>
        </w:rPr>
        <w:t xml:space="preserve">  </w:t>
      </w:r>
      <w:r>
        <w:rPr>
          <w:rFonts w:hint="default" w:ascii="Times New Roman" w:hAnsi="Times New Roman" w:cs="Times New Roman" w:eastAsiaTheme="minorEastAsia"/>
          <w:b/>
          <w:bCs/>
          <w:color w:val="auto"/>
          <w:sz w:val="28"/>
          <w:szCs w:val="28"/>
        </w:rPr>
        <w:t>破解数据壁垒</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完善数据管理制度，明确各部门数据共享的范围边界和使用方式，健全工作问责机制与制定数据开放标准，划</w:t>
      </w:r>
      <w:r>
        <w:rPr>
          <w:rFonts w:hint="default" w:ascii="Times New Roman" w:hAnsi="Times New Roman" w:cs="Times New Roman" w:eastAsiaTheme="minorEastAsia"/>
          <w:color w:val="auto"/>
          <w:sz w:val="24"/>
          <w:szCs w:val="24"/>
          <w:lang w:val="en-US" w:eastAsia="zh-CN"/>
        </w:rPr>
        <w:t>定</w:t>
      </w:r>
      <w:r>
        <w:rPr>
          <w:rFonts w:hint="default" w:ascii="Times New Roman" w:hAnsi="Times New Roman" w:cs="Times New Roman" w:eastAsiaTheme="minorEastAsia"/>
          <w:color w:val="auto"/>
          <w:sz w:val="24"/>
          <w:szCs w:val="24"/>
        </w:rPr>
        <w:t>法律“红线”，将数据开放责任落实到个体，制定开放目录体系与共享清单；优化部门数据管理机制，成立专门的数据服务管理部门，直接对接数据应用等技术相关层面的问题，以满足技术与管理层面的迫切需求；增强部门协作能力，部门间应形成“社会利益大于部门利益”的思想共识，对公共产品数据，各部门应</w:t>
      </w:r>
      <w:r>
        <w:rPr>
          <w:rFonts w:hint="default" w:ascii="Times New Roman" w:hAnsi="Times New Roman" w:cs="Times New Roman" w:eastAsiaTheme="minorEastAsia"/>
          <w:color w:val="auto"/>
          <w:sz w:val="24"/>
          <w:szCs w:val="24"/>
          <w:lang w:val="en-US" w:eastAsia="zh-CN"/>
        </w:rPr>
        <w:t>做到</w:t>
      </w:r>
      <w:r>
        <w:rPr>
          <w:rFonts w:hint="default" w:ascii="Times New Roman" w:hAnsi="Times New Roman" w:cs="Times New Roman" w:eastAsiaTheme="minorEastAsia"/>
          <w:color w:val="auto"/>
          <w:sz w:val="24"/>
          <w:szCs w:val="24"/>
        </w:rPr>
        <w:t>“取之于民而用之于民”，并且针对政务数据</w:t>
      </w:r>
      <w:r>
        <w:rPr>
          <w:rFonts w:hint="default" w:ascii="Times New Roman" w:hAnsi="Times New Roman" w:cs="Times New Roman" w:eastAsiaTheme="minorEastAsia"/>
          <w:color w:val="auto"/>
          <w:sz w:val="24"/>
          <w:szCs w:val="24"/>
          <w:lang w:val="en-US" w:eastAsia="zh-CN"/>
        </w:rPr>
        <w:t>进一步</w:t>
      </w:r>
      <w:r>
        <w:rPr>
          <w:rFonts w:hint="default" w:ascii="Times New Roman" w:hAnsi="Times New Roman" w:cs="Times New Roman" w:eastAsiaTheme="minorEastAsia"/>
          <w:color w:val="auto"/>
          <w:sz w:val="24"/>
          <w:szCs w:val="24"/>
        </w:rPr>
        <w:t>开发、分析与精准应用，让房屋征收相关数据有效进行交流</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6"/>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rPr>
      </w:pPr>
      <w:r>
        <w:rPr>
          <w:rFonts w:hint="eastAsia" w:ascii="Times New Roman" w:hAnsi="Times New Roman" w:cs="Times New Roman"/>
          <w:b/>
          <w:bCs/>
          <w:color w:val="auto"/>
          <w:sz w:val="28"/>
          <w:szCs w:val="28"/>
          <w:lang w:val="en-US" w:eastAsia="zh-CN"/>
        </w:rPr>
        <w:t>3</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2</w:t>
      </w:r>
      <w:r>
        <w:rPr>
          <w:rFonts w:hint="eastAsia"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提升</w:t>
      </w:r>
      <w:r>
        <w:rPr>
          <w:rFonts w:hint="default" w:ascii="Times New Roman" w:hAnsi="Times New Roman" w:cs="Times New Roman" w:eastAsiaTheme="minorEastAsia"/>
          <w:b/>
          <w:bCs/>
          <w:color w:val="auto"/>
          <w:sz w:val="28"/>
          <w:szCs w:val="28"/>
        </w:rPr>
        <w:t>安全性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在大数据技术应用下,电脑、手机等硬件与各类</w:t>
      </w:r>
      <w:r>
        <w:rPr>
          <w:rFonts w:hint="default" w:ascii="Times New Roman" w:hAnsi="Times New Roman" w:cs="Times New Roman" w:eastAsiaTheme="minorEastAsia"/>
          <w:color w:val="auto"/>
          <w:sz w:val="24"/>
          <w:szCs w:val="24"/>
          <w:lang w:val="en-US" w:eastAsia="zh-CN"/>
        </w:rPr>
        <w:t>应用程序</w:t>
      </w:r>
      <w:r>
        <w:rPr>
          <w:rFonts w:hint="default" w:ascii="Times New Roman" w:hAnsi="Times New Roman" w:cs="Times New Roman" w:eastAsiaTheme="minorEastAsia"/>
          <w:color w:val="auto"/>
          <w:sz w:val="24"/>
          <w:szCs w:val="24"/>
        </w:rPr>
        <w:t>构成了大数据资源的整合与收集,这些都在一定程度上存在着信息泄密等安全隐患。因此,在平台运行中应当运用“互联网+”技术,及时有效处理这些涉及安全隐患的问题,通过数字签名、设置防火墙、限制网络接入口等,建立通用式的平台开发应用模式，规范数据接入口</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7"/>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，这些都能从一定程度有效杜绝信息资源管理的不安全因素,实现重要材料及信息的可靠性和安全性保障。</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Times New Roman" w:hAnsi="Times New Roman" w:cs="Times New Roman"/>
          <w:b/>
          <w:bCs/>
          <w:color w:val="auto"/>
          <w:sz w:val="28"/>
          <w:szCs w:val="28"/>
          <w:lang w:val="en-US" w:eastAsia="zh-CN"/>
        </w:rPr>
      </w:pPr>
      <w:r>
        <w:rPr>
          <w:rFonts w:hint="eastAsia" w:ascii="Times New Roman" w:hAnsi="Times New Roman" w:cs="Times New Roman"/>
          <w:b/>
          <w:bCs/>
          <w:color w:val="auto"/>
          <w:sz w:val="28"/>
          <w:szCs w:val="28"/>
          <w:lang w:val="en-US" w:eastAsia="zh-CN"/>
        </w:rPr>
        <w:t>3</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3</w:t>
      </w:r>
      <w:r>
        <w:rPr>
          <w:rFonts w:hint="eastAsia"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完善公众参与机制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公众参与是社会管理创新的基本路径之一，也是化解房屋征收矛盾的有效方式，房屋征收领域公众参与有利于约束行政行为。因此</w:t>
      </w:r>
      <w:r>
        <w:rPr>
          <w:rFonts w:hint="default" w:ascii="Times New Roman" w:hAnsi="Times New Roman" w:cs="Times New Roman"/>
          <w:color w:val="auto"/>
          <w:sz w:val="24"/>
          <w:szCs w:val="24"/>
          <w:lang w:eastAsia="zh-CN"/>
        </w:rPr>
        <w:t>，</w:t>
      </w:r>
      <w:r>
        <w:rPr>
          <w:rFonts w:hint="default" w:ascii="Times New Roman" w:hAnsi="Times New Roman" w:cs="Times New Roman" w:eastAsiaTheme="minorEastAsia"/>
          <w:color w:val="auto"/>
          <w:sz w:val="24"/>
          <w:szCs w:val="24"/>
        </w:rPr>
        <w:t>需要宣传号召公众参与房屋征收工作信息化建设，通过设定地区指导意见对公众参与房屋征收的主体、参与的途径、程序、方法，以及实施监督等重点问题进行规定。除此之外还应提供公众参与房屋征收的有效渠道，设立微博、微信监督平台等，定期对群众诉求和意见进行收集并及时处置，进一步落实</w:t>
      </w:r>
      <w:r>
        <w:rPr>
          <w:rFonts w:hint="default" w:ascii="Times New Roman" w:hAnsi="Times New Roman" w:cs="Times New Roman" w:eastAsiaTheme="minorEastAsia"/>
          <w:color w:val="auto"/>
          <w:sz w:val="24"/>
          <w:szCs w:val="24"/>
          <w:lang w:val="en-US" w:eastAsia="zh-CN"/>
        </w:rPr>
        <w:t>好房屋征收相关法律法规</w:t>
      </w:r>
      <w:r>
        <w:rPr>
          <w:rFonts w:hint="default" w:ascii="Times New Roman" w:hAnsi="Times New Roman" w:cs="Times New Roman" w:eastAsiaTheme="minorEastAsia"/>
          <w:color w:val="auto"/>
          <w:sz w:val="24"/>
          <w:szCs w:val="24"/>
        </w:rPr>
        <w:t>中对公众参与的相关规定，有效推动房屋征收工作的结构转型及管理模式创新，给房屋征收工作提供全新的发展思路</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val="en-US" w:eastAsia="zh-CN"/>
        </w:rPr>
        <w:t>同时</w:t>
      </w:r>
      <w:r>
        <w:rPr>
          <w:rFonts w:hint="default" w:ascii="Times New Roman" w:hAnsi="Times New Roman" w:cs="Times New Roman" w:eastAsiaTheme="minorEastAsia"/>
          <w:color w:val="auto"/>
          <w:sz w:val="24"/>
          <w:szCs w:val="24"/>
        </w:rPr>
        <w:t>利用媒体及第三方组织等，对房屋征收事项进行客观真实报道并给予专业性的政策、法律援助，帮助政府和公众间建立有效的互动氛围，</w:t>
      </w:r>
      <w:r>
        <w:rPr>
          <w:rFonts w:hint="default" w:ascii="Times New Roman" w:hAnsi="Times New Roman" w:cs="Times New Roman" w:eastAsiaTheme="minorEastAsia"/>
          <w:color w:val="auto"/>
          <w:sz w:val="24"/>
          <w:szCs w:val="24"/>
          <w:lang w:val="en-US" w:eastAsia="zh-CN"/>
        </w:rPr>
        <w:t>为</w:t>
      </w:r>
      <w:r>
        <w:rPr>
          <w:rFonts w:hint="default" w:ascii="Times New Roman" w:hAnsi="Times New Roman" w:cs="Times New Roman" w:eastAsiaTheme="minorEastAsia"/>
          <w:color w:val="auto"/>
          <w:sz w:val="24"/>
          <w:szCs w:val="24"/>
        </w:rPr>
        <w:t>包括房屋征收补偿方案在内的多项文件制订提供可参考的依据，让其更具有效性和操作性</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8"/>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。通过公众参与改变群众的刻板印象，这样才能让群众认可并相信房屋征收工作。</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b/>
          <w:bCs/>
          <w:color w:val="auto"/>
          <w:sz w:val="28"/>
          <w:szCs w:val="28"/>
          <w:lang w:val="en-US" w:eastAsia="zh-CN"/>
        </w:rPr>
      </w:pPr>
      <w:r>
        <w:rPr>
          <w:rFonts w:hint="eastAsia" w:ascii="Times New Roman" w:hAnsi="Times New Roman" w:cs="Times New Roman"/>
          <w:b/>
          <w:bCs/>
          <w:color w:val="auto"/>
          <w:sz w:val="28"/>
          <w:szCs w:val="28"/>
          <w:lang w:val="en-US" w:eastAsia="zh-CN"/>
        </w:rPr>
        <w:t>3</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3</w:t>
      </w:r>
      <w:r>
        <w:rPr>
          <w:rFonts w:hint="eastAsia"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健全信息公开制度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要把主动公开作为信息公开工作的常态，明确信息公开的工作清单，除了涉及国家秘密、商业秘密、个人隐私以及政府内部处理问题的一些无关被征收人利益的过程性信息不公开外，其余的事关被征收人切身利益的信息都属于可以公开范围，应该通过信息化手段并结合传统的公开办法予以公开。</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inorEastAsia"/>
          <w:color w:val="auto"/>
          <w:sz w:val="24"/>
          <w:szCs w:val="24"/>
        </w:rPr>
      </w:pPr>
      <w:r>
        <w:rPr>
          <w:rFonts w:hint="eastAsia" w:asciiTheme="majorEastAsia" w:hAnsiTheme="majorEastAsia" w:eastAsiaTheme="majorEastAsia" w:cstheme="majorEastAsia"/>
          <w:b/>
          <w:bCs/>
          <w:color w:val="auto"/>
          <w:sz w:val="30"/>
          <w:szCs w:val="30"/>
          <w:lang w:val="en-US" w:eastAsia="zh-CN"/>
        </w:rPr>
        <w:t>4  基于PaaS模式的房屋征收一体化信息服务平台建设</w:t>
      </w:r>
      <w:r>
        <w:rPr>
          <w:rFonts w:hint="eastAsia"/>
          <w:b w:val="0"/>
          <w:bCs w:val="0"/>
          <w:color w:val="auto"/>
        </w:rPr>
        <w:br w:type="textWrapping"/>
      </w:r>
      <w:r>
        <w:rPr>
          <w:rFonts w:hint="eastAsia"/>
          <w:b w:val="0"/>
          <w:bCs w:val="0"/>
          <w:color w:val="auto"/>
        </w:rPr>
        <w:t xml:space="preserve"> </w:t>
      </w:r>
      <w:r>
        <w:rPr>
          <w:rFonts w:hint="eastAsia"/>
          <w:b w:val="0"/>
          <w:bCs w:val="0"/>
          <w:color w:val="auto"/>
          <w:lang w:val="en-US" w:eastAsia="zh-CN"/>
        </w:rPr>
        <w:t xml:space="preserve">  </w:t>
      </w:r>
      <w:r>
        <w:rPr>
          <w:rFonts w:hint="default" w:ascii="Times New Roman" w:hAnsi="Times New Roman" w:cs="Times New Roman"/>
          <w:b w:val="0"/>
          <w:bCs w:val="0"/>
          <w:color w:val="auto"/>
          <w:lang w:val="en-US" w:eastAsia="zh-CN"/>
        </w:rPr>
        <w:t xml:space="preserve"> </w:t>
      </w:r>
      <w:r>
        <w:rPr>
          <w:rFonts w:hint="default" w:ascii="Times New Roman" w:hAnsi="Times New Roman" w:cs="Times New Roman" w:eastAsiaTheme="minorEastAsia"/>
          <w:color w:val="auto"/>
          <w:sz w:val="24"/>
          <w:szCs w:val="24"/>
        </w:rPr>
        <w:t>云计算服务模式分为三类：软件即服务（Software as a Service,SaaS）、平台即服务（Platform as a Service,PaaS）、基础设施即服务（Infrastructure as a Service,IaaS）。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SaaS是通过互联网向用户提供软件服务的一种模式。SaaS服务提供商负责在云端安装和操作应用软件，用户只需按照“按需使用、按量计费”的方式在客户端访问软件，而无需用户购买其他任何的软件。此外，云用户也不必管理 应用程序运行的基础设施，并且不用担心为满足变化工作需求所需的弹性资源支持和虚拟机群之上的负载平衡分发。SaaS是软件的开发、管理、部署都交给第三方，不需要关心技术问题，可以拿来即用。普通用户接触到的互联网服务，几乎都是Saa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PaaS是集应用设计、开发、测试部署于一体的一个软硬件提供平台，程序开发者能够在该PaaS平台上直接创建、测试和部署应用服务，而无需购买和管理底层的硬件和软件资源。PaaS提供软件部署平台，抽象掉了硬件和操作系统细节，可以无缝地扩展。开发者只需要关注自己的业务逻辑，不需要关注底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IaaS将提供计算、存储、处理、网络资源在内的所有设施以物理或虚拟机的形式给消费者，用户相当于在裸机上部署和运行操作系统、应用系统或任意软件。IaaS是云服务的最底层，主要提供一些基础资源。它与PaaS的区别是，用户需要自己控制底层，实现基础设施的使用逻辑。</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PaaS模式下的电子政务系统设计在不改变现有设备和技术的条件下，充分利用PaaS平台提供的硬件和软件服务，</w:t>
      </w:r>
      <w:r>
        <w:rPr>
          <w:rFonts w:hint="default" w:ascii="Times New Roman" w:hAnsi="Times New Roman" w:eastAsia="宋体" w:cs="Times New Roman"/>
          <w:color w:val="auto"/>
          <w:sz w:val="24"/>
          <w:szCs w:val="24"/>
          <w:lang w:val="en-US" w:eastAsia="zh-CN"/>
        </w:rPr>
        <w:t>实现</w:t>
      </w:r>
      <w:r>
        <w:rPr>
          <w:rFonts w:hint="default" w:ascii="Times New Roman" w:hAnsi="Times New Roman" w:eastAsia="宋体" w:cs="Times New Roman"/>
          <w:color w:val="auto"/>
          <w:sz w:val="24"/>
          <w:szCs w:val="24"/>
        </w:rPr>
        <w:t>开发、测试和部署</w:t>
      </w:r>
      <w:r>
        <w:rPr>
          <w:rFonts w:hint="default" w:ascii="Times New Roman" w:hAnsi="Times New Roman" w:eastAsia="宋体" w:cs="Times New Roman"/>
          <w:color w:val="auto"/>
          <w:sz w:val="24"/>
          <w:szCs w:val="24"/>
          <w:lang w:val="en-US" w:eastAsia="zh-CN"/>
        </w:rPr>
        <w:t>等功能</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以最小的成本快速部署自己所需要的个性化功能，进而达到提高软件复用率和降低开发成本的目的，充分体现了“一次开发，多次使用”的思想</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9"/>
      </w:r>
      <w:r>
        <w:rPr>
          <w:rStyle w:val="9"/>
          <w:rFonts w:hint="default" w:ascii="Times New Roman" w:hAnsi="Times New Roman" w:cs="Times New Roman" w:eastAsiaTheme="minorEastAsia"/>
          <w:color w:val="auto"/>
          <w:sz w:val="24"/>
          <w:szCs w:val="24"/>
        </w:rPr>
        <w:t>]</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PaaS可以帮助</w:t>
      </w:r>
      <w:r>
        <w:rPr>
          <w:rFonts w:hint="default" w:ascii="Times New Roman" w:hAnsi="Times New Roman" w:eastAsia="宋体" w:cs="Times New Roman"/>
          <w:color w:val="auto"/>
          <w:sz w:val="24"/>
          <w:szCs w:val="24"/>
          <w:lang w:val="en-US" w:eastAsia="zh-CN"/>
        </w:rPr>
        <w:t>政府部门</w:t>
      </w:r>
      <w:r>
        <w:rPr>
          <w:rFonts w:hint="default" w:ascii="Times New Roman" w:hAnsi="Times New Roman" w:eastAsia="宋体" w:cs="Times New Roman"/>
          <w:color w:val="auto"/>
          <w:sz w:val="24"/>
          <w:szCs w:val="24"/>
        </w:rPr>
        <w:t>从“基础设施上云”迈向“系统和应用上云”，优化</w:t>
      </w:r>
      <w:r>
        <w:rPr>
          <w:rFonts w:hint="default" w:ascii="Times New Roman" w:hAnsi="Times New Roman" w:eastAsia="宋体" w:cs="Times New Roman"/>
          <w:color w:val="auto"/>
          <w:sz w:val="24"/>
          <w:szCs w:val="24"/>
          <w:lang w:val="en-US" w:eastAsia="zh-CN"/>
        </w:rPr>
        <w:t>政务</w:t>
      </w:r>
      <w:r>
        <w:rPr>
          <w:rFonts w:hint="default" w:ascii="Times New Roman" w:hAnsi="Times New Roman" w:eastAsia="宋体" w:cs="Times New Roman"/>
          <w:color w:val="auto"/>
          <w:sz w:val="24"/>
          <w:szCs w:val="24"/>
        </w:rPr>
        <w:t>软件开发模式，从而成为</w:t>
      </w:r>
      <w:r>
        <w:rPr>
          <w:rFonts w:hint="default" w:ascii="Times New Roman" w:hAnsi="Times New Roman" w:eastAsia="宋体" w:cs="Times New Roman"/>
          <w:color w:val="auto"/>
          <w:sz w:val="24"/>
          <w:szCs w:val="24"/>
          <w:lang w:val="en-US" w:eastAsia="zh-CN"/>
        </w:rPr>
        <w:t>政府</w:t>
      </w:r>
      <w:r>
        <w:rPr>
          <w:rFonts w:hint="default" w:ascii="Times New Roman" w:hAnsi="Times New Roman" w:eastAsia="宋体" w:cs="Times New Roman"/>
          <w:color w:val="auto"/>
          <w:sz w:val="24"/>
          <w:szCs w:val="24"/>
        </w:rPr>
        <w:t>数字化转型、进行架构升级的必然选择。PaaS</w:t>
      </w:r>
      <w:r>
        <w:rPr>
          <w:rFonts w:hint="eastAsia" w:ascii="Times New Roman" w:hAnsi="Times New Roman" w:cs="Times New Roman"/>
          <w:color w:val="auto"/>
          <w:sz w:val="24"/>
          <w:szCs w:val="24"/>
          <w:lang w:val="en-US" w:eastAsia="zh-CN"/>
        </w:rPr>
        <w:t>能够</w:t>
      </w:r>
      <w:r>
        <w:rPr>
          <w:rFonts w:hint="default" w:ascii="Times New Roman" w:hAnsi="Times New Roman" w:eastAsia="宋体" w:cs="Times New Roman"/>
          <w:color w:val="auto"/>
          <w:sz w:val="24"/>
          <w:szCs w:val="24"/>
        </w:rPr>
        <w:t>连接开发者和客户，具备双边的网络效应，而IaaS和SaaS更多是单边的网络效应，</w:t>
      </w:r>
      <w:r>
        <w:rPr>
          <w:rFonts w:hint="eastAsia" w:ascii="Times New Roman" w:hAnsi="Times New Roman" w:cs="Times New Roman"/>
          <w:color w:val="auto"/>
          <w:sz w:val="24"/>
          <w:szCs w:val="24"/>
          <w:lang w:val="en-US" w:eastAsia="zh-CN"/>
        </w:rPr>
        <w:t>更</w:t>
      </w:r>
      <w:r>
        <w:rPr>
          <w:rFonts w:hint="default" w:ascii="Times New Roman" w:hAnsi="Times New Roman" w:eastAsia="宋体" w:cs="Times New Roman"/>
          <w:color w:val="auto"/>
          <w:sz w:val="24"/>
          <w:szCs w:val="24"/>
        </w:rPr>
        <w:t>契合政府</w:t>
      </w:r>
      <w:r>
        <w:rPr>
          <w:rFonts w:hint="default" w:ascii="Times New Roman" w:hAnsi="Times New Roman" w:eastAsia="宋体" w:cs="Times New Roman"/>
          <w:color w:val="auto"/>
          <w:sz w:val="24"/>
          <w:szCs w:val="24"/>
          <w:lang w:val="en-US" w:eastAsia="zh-CN"/>
        </w:rPr>
        <w:t>的需求</w:t>
      </w:r>
      <w:r>
        <w:rPr>
          <w:rFonts w:hint="eastAsia" w:ascii="Times New Roman" w:hAnsi="Times New Roman" w:cs="Times New Roman"/>
          <w:color w:val="auto"/>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color w:val="auto"/>
          <w:sz w:val="28"/>
          <w:szCs w:val="28"/>
        </w:rPr>
      </w:pPr>
      <w:r>
        <w:rPr>
          <w:rFonts w:hint="default" w:ascii="Times New Roman" w:hAnsi="Times New Roman" w:cs="Times New Roman"/>
          <w:b/>
          <w:bCs/>
          <w:color w:val="auto"/>
          <w:sz w:val="28"/>
          <w:szCs w:val="28"/>
          <w:lang w:val="en-US" w:eastAsia="zh-CN"/>
        </w:rPr>
        <w:t xml:space="preserve">4.1  </w:t>
      </w:r>
      <w:r>
        <w:rPr>
          <w:rFonts w:hint="default" w:ascii="Times New Roman" w:hAnsi="Times New Roman" w:cs="Times New Roman" w:eastAsiaTheme="minorEastAsia"/>
          <w:b/>
          <w:bCs/>
          <w:color w:val="auto"/>
          <w:sz w:val="28"/>
          <w:szCs w:val="28"/>
        </w:rPr>
        <w:t>数据分析技术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房屋征收一体化信息平台可采用SOA（面向服务）架构，并使用Web Service相关技术实现，做到了服务之间的松耦合（避免过度依赖和不合理依赖）和独立部署，为数据交换平台提供了良好的扩展性和灵活性</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10"/>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。平台使用工作流技术将房屋征收信息化工作流程的各类概念抽象成工作流对应技术，简化了政府部门业务里的数据导入、人员审核、数据归档等工作。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SOA架构其中包含了多个服务，而服务之间通过配合最终将提供一系列功能，一个服务通常以独立的形式存在于操作系统进程中。服务之间通过网络调用，而非采用进程内调用的方式进行通信。</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利用Hadoop（分布式计算）提供的HDFS解决数据集中存储的问题，MapReduce用于完成对采集而来的原始数据到标准数据的转换。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Hadoop核心就是HDFS和MapReduce。HDFS为海量数据提供了存储，而MapReduce为海量数据提供了计算框架。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整个HDFS有三个重要角色：NameNode（名称节点）、DataNode（数据节点）和Client（客户机）。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NameNode：是主节点，可以看作是分布式文件系统中的管理者，主要负责管理文件系统的命名空间、集群配置信息和存储块的复制等。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DataNode：是从节点，是文件存储的基本单元，它将Block存储在本地文件系统中。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Client：功能是切分文件，访问HDFS，与NameNode交互，获得文件位置信息；与DataNode交互，读取和写入数据。 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Block：Block是HDFS中的基本读写单元，HDFS中的文件都是被切割为Block进行存储的，这些块被复制到多个DataNode中。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数据写入流程：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1.Client向NameNode发起文件写入请求。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2.NameNode根据文件大小和文件块配置情况，返回给Client它管理的DataNode的信息。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3.Client将文件划分为多个block，根据DataNode的地址，按顺序依次将block写入不同DataNode块中。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eastAsiaTheme="minorEastAsia"/>
          <w:b w:val="0"/>
          <w:bCs w:val="0"/>
          <w:color w:val="auto"/>
          <w:lang w:eastAsia="zh-CN"/>
        </w:rPr>
      </w:pPr>
      <w:r>
        <w:rPr>
          <w:rFonts w:hint="eastAsia" w:asciiTheme="minorEastAsia" w:hAnsiTheme="minorEastAsia" w:eastAsiaTheme="minorEastAsia" w:cstheme="minorEastAsia"/>
          <w:color w:val="auto"/>
          <w:sz w:val="24"/>
          <w:szCs w:val="24"/>
        </w:rPr>
        <w:t>4.所有Block都完成后，关闭文件。NameNode会将数据永久化到磁盘上。</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如图1所示</w:t>
      </w:r>
      <w:r>
        <w:rPr>
          <w:rFonts w:hint="eastAsia" w:ascii="Times New Roman" w:hAnsi="Times New Roman" w:cs="Times New Roman"/>
          <w:color w:val="auto"/>
          <w:sz w:val="24"/>
          <w:szCs w:val="24"/>
          <w:lang w:val="en-US" w:eastAsia="zh-CN"/>
        </w:rPr>
        <w:t>：</w:t>
      </w:r>
      <w:r>
        <w:rPr>
          <w:rFonts w:hint="default" w:ascii="Times New Roman" w:hAnsi="Times New Roman" w:cs="Times New Roman"/>
          <w:color w:val="auto"/>
          <w:sz w:val="24"/>
          <w:szCs w:val="24"/>
          <w:lang w:eastAsia="zh-CN"/>
        </w:rPr>
        <w:t>）</w:t>
      </w:r>
    </w:p>
    <w:p>
      <w:pPr>
        <w:jc w:val="center"/>
        <w:rPr>
          <w:rFonts w:hint="eastAsia" w:eastAsiaTheme="minorEastAsia"/>
          <w:color w:val="auto"/>
          <w:lang w:eastAsia="zh-CN"/>
        </w:rPr>
      </w:pPr>
      <w:r>
        <w:rPr>
          <w:rFonts w:hint="eastAsia" w:eastAsiaTheme="minorEastAsia"/>
          <w:color w:val="auto"/>
          <w:lang w:eastAsia="zh-CN"/>
        </w:rPr>
        <w:drawing>
          <wp:inline distT="0" distB="0" distL="114300" distR="114300">
            <wp:extent cx="4030980" cy="2407920"/>
            <wp:effectExtent l="0" t="0" r="7620" b="0"/>
            <wp:docPr id="2" name="图片 2" descr="微信图片_2020110819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01108193441"/>
                    <pic:cNvPicPr>
                      <a:picLocks noChangeAspect="1"/>
                    </pic:cNvPicPr>
                  </pic:nvPicPr>
                  <pic:blipFill>
                    <a:blip r:embed="rId6"/>
                    <a:stretch>
                      <a:fillRect/>
                    </a:stretch>
                  </pic:blipFill>
                  <pic:spPr>
                    <a:xfrm>
                      <a:off x="0" y="0"/>
                      <a:ext cx="4030980" cy="2407920"/>
                    </a:xfrm>
                    <a:prstGeom prst="rect">
                      <a:avLst/>
                    </a:prstGeom>
                  </pic:spPr>
                </pic:pic>
              </a:graphicData>
            </a:graphic>
          </wp:inline>
        </w:drawing>
      </w:r>
    </w:p>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1"/>
          <w:szCs w:val="21"/>
          <w:lang w:val="en-US" w:eastAsia="zh-CN"/>
        </w:rPr>
        <w:t xml:space="preserve">图1 </w:t>
      </w:r>
      <w:r>
        <w:rPr>
          <w:rFonts w:hint="eastAsia" w:asciiTheme="minorEastAsia" w:hAnsiTheme="minorEastAsia" w:eastAsiaTheme="minorEastAsia" w:cstheme="minorEastAsia"/>
          <w:color w:val="auto"/>
          <w:sz w:val="21"/>
          <w:szCs w:val="21"/>
        </w:rPr>
        <w:t>数据写入流程</w:t>
      </w:r>
    </w:p>
    <w:p>
      <w:pPr>
        <w:ind w:firstLine="0" w:firstLineChars="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数据读取流程：</w:t>
      </w:r>
    </w:p>
    <w:p>
      <w:pP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1.Client向NameNode发起读取文件的请求。</w:t>
      </w:r>
    </w:p>
    <w:p>
      <w:pP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2.NameNode将给Client返回这个文件的块列表，以及存储各个块的数据节点清单。</w:t>
      </w:r>
    </w:p>
    <w:p>
      <w:pPr>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3.Client读取文件信息。</w:t>
      </w:r>
    </w:p>
    <w:p>
      <w:pPr>
        <w:rPr>
          <w:rFonts w:hint="eastAsia" w:ascii="Times New Roman" w:hAnsi="Times New Roman" w:cs="Times New Roman" w:eastAsiaTheme="minorEastAsia"/>
          <w:color w:val="auto"/>
          <w:sz w:val="24"/>
          <w:szCs w:val="24"/>
          <w:lang w:eastAsia="zh-CN"/>
        </w:rPr>
      </w:pP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如图2所示：</w:t>
      </w:r>
      <w:r>
        <w:rPr>
          <w:rFonts w:hint="eastAsia" w:ascii="Times New Roman" w:hAnsi="Times New Roman" w:cs="Times New Roman"/>
          <w:color w:val="auto"/>
          <w:sz w:val="24"/>
          <w:szCs w:val="24"/>
          <w:lang w:eastAsia="zh-CN"/>
        </w:rPr>
        <w:t>）</w:t>
      </w:r>
    </w:p>
    <w:p>
      <w:pPr>
        <w:jc w:val="center"/>
        <w:rPr>
          <w:rFonts w:hint="eastAsia" w:eastAsiaTheme="minorEastAsia"/>
          <w:color w:val="auto"/>
          <w:lang w:eastAsia="zh-CN"/>
        </w:rPr>
      </w:pPr>
      <w:r>
        <w:rPr>
          <w:rFonts w:hint="eastAsia" w:eastAsiaTheme="minorEastAsia"/>
          <w:color w:val="auto"/>
          <w:lang w:eastAsia="zh-CN"/>
        </w:rPr>
        <w:drawing>
          <wp:inline distT="0" distB="0" distL="114300" distR="114300">
            <wp:extent cx="4038600" cy="2293620"/>
            <wp:effectExtent l="0" t="0" r="0" b="7620"/>
            <wp:docPr id="3" name="图片 3" descr="微信图片_2020110819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01108192238"/>
                    <pic:cNvPicPr>
                      <a:picLocks noChangeAspect="1"/>
                    </pic:cNvPicPr>
                  </pic:nvPicPr>
                  <pic:blipFill>
                    <a:blip r:embed="rId7"/>
                    <a:stretch>
                      <a:fillRect/>
                    </a:stretch>
                  </pic:blipFill>
                  <pic:spPr>
                    <a:xfrm>
                      <a:off x="0" y="0"/>
                      <a:ext cx="4038600" cy="2293620"/>
                    </a:xfrm>
                    <a:prstGeom prst="rect">
                      <a:avLst/>
                    </a:prstGeom>
                  </pic:spPr>
                </pic:pic>
              </a:graphicData>
            </a:graphic>
          </wp:inline>
        </w:drawing>
      </w:r>
    </w:p>
    <w:p>
      <w:pPr>
        <w:jc w:val="center"/>
        <w:rPr>
          <w:rFonts w:hint="eastAsia"/>
          <w:b w:val="0"/>
          <w:bCs w:val="0"/>
          <w:color w:val="auto"/>
        </w:rPr>
      </w:pPr>
      <w:r>
        <w:rPr>
          <w:rFonts w:hint="eastAsia"/>
          <w:color w:val="auto"/>
          <w:lang w:val="en-US" w:eastAsia="zh-CN"/>
        </w:rPr>
        <w:t>图2 数据读取流程</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MapReduce这个模型的核心步骤主要分两部分：Map（映射）和Reduce（归约）。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当你向MapReduce框架提交一个计算作业时，它会首先把计算作业拆分成若干个Map任务，然后分配到不同的节点上去执行，每一个Map任务处理输入数据中的一部分，当Map任务完成后，它会生成一些中间文件，这些中间文件将会作为Reduce任务的输入数据。Reduce任务的主要目标就是把前面若干个Map的输出汇总一并输出</w:t>
      </w:r>
      <w:r>
        <w:rPr>
          <w:rFonts w:hint="default" w:ascii="Times New Roman" w:hAnsi="Times New Roman" w:cs="Times New Roman" w:eastAsiaTheme="minorEastAsia"/>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b/>
          <w:bCs/>
          <w:color w:val="auto"/>
          <w:sz w:val="28"/>
          <w:szCs w:val="28"/>
          <w:lang w:val="en-US" w:eastAsia="zh-CN"/>
        </w:rPr>
        <w:t xml:space="preserve">4.2 </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lang w:eastAsia="zh-CN"/>
        </w:rPr>
        <w:t>数据挖掘技术</w:t>
      </w:r>
      <w:r>
        <w:rPr>
          <w:rFonts w:hint="default" w:ascii="Times New Roman" w:hAnsi="Times New Roman" w:cs="Times New Roman" w:eastAsiaTheme="minorEastAsia"/>
          <w:color w:val="auto"/>
          <w:sz w:val="24"/>
          <w:szCs w:val="24"/>
          <w:lang w:eastAsia="zh-CN"/>
        </w:rPr>
        <w:t xml:space="preserv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lang w:eastAsia="zh-CN"/>
        </w:rPr>
        <w:t>根据信息处理的流程和信息平台的功能要求，以及数据和信息提取、处理、分析和服务为主体的信息平台的一般构架形式，结合考虑房屋征收信息平台的功能要求及其所面对的处理对象，基于数据仓库和数据挖掘理论。将来自各子系统的数据进行信息交换、信息融合和系统集成、ETL（数据仓库技术）处理后组成房屋征收数据仓库，利用数据挖掘方法对此数据仓库按照需求进行模式、规律等的挖掘</w:t>
      </w:r>
      <w:r>
        <w:rPr>
          <w:rStyle w:val="9"/>
          <w:rFonts w:hint="default" w:ascii="Times New Roman" w:hAnsi="Times New Roman" w:cs="Times New Roman" w:eastAsiaTheme="minorEastAsia"/>
          <w:color w:val="auto"/>
          <w:sz w:val="24"/>
          <w:szCs w:val="24"/>
          <w:lang w:eastAsia="zh-CN"/>
        </w:rPr>
        <w:t>[</w:t>
      </w:r>
      <w:r>
        <w:rPr>
          <w:rStyle w:val="9"/>
          <w:rFonts w:hint="default" w:ascii="Times New Roman" w:hAnsi="Times New Roman" w:cs="Times New Roman" w:eastAsiaTheme="minorEastAsia"/>
          <w:color w:val="auto"/>
          <w:sz w:val="24"/>
          <w:szCs w:val="24"/>
          <w:lang w:eastAsia="zh-CN"/>
        </w:rPr>
        <w:endnoteReference w:id="11"/>
      </w:r>
      <w:r>
        <w:rPr>
          <w:rStyle w:val="9"/>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lang w:eastAsia="zh-CN"/>
        </w:rPr>
        <w:t>，最终将得到的结果由房屋征收信息化平台应用接口进行转换提供给其他管理部门的子系统共享，实现各房屋征收应用子系统功能的集成，将数据挖掘和数据仓库结合起来，统一设计、统一处理，一方面可以使信息平台数据得到更好的组织，数据仓库系统得到更大的发展，同时也使数据挖掘不脱离实际而得到广泛的应用</w:t>
      </w:r>
      <w:r>
        <w:rPr>
          <w:rFonts w:hint="default" w:ascii="Times New Roman" w:hAnsi="Times New Roman" w:cs="Times New Roman"/>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ajorEastAsia" w:hAnsiTheme="majorEastAsia" w:eastAsiaTheme="majorEastAsia" w:cstheme="majorEastAsia"/>
          <w:b/>
          <w:bCs/>
          <w:color w:val="auto"/>
          <w:sz w:val="30"/>
          <w:szCs w:val="30"/>
          <w:lang w:val="en-US" w:eastAsia="zh-CN"/>
        </w:rPr>
      </w:pPr>
      <w:r>
        <w:rPr>
          <w:rFonts w:hint="default" w:ascii="Times New Roman" w:hAnsi="Times New Roman" w:cs="Times New Roman" w:eastAsiaTheme="minorEastAsia"/>
          <w:color w:val="auto"/>
          <w:sz w:val="24"/>
          <w:szCs w:val="24"/>
        </w:rPr>
        <w:t>数据准备主要分为三个部分：数据选取、数据清洗、数据转换。其中数据清洗在整个数据准备过程中尤为关键，因为目标数据是杂乱的、有冗余的，需要对数据进行清洗，为后续数据挖掘输入高质量的数据源。</w:t>
      </w:r>
    </w:p>
    <w:p>
      <w:pPr>
        <w:rPr>
          <w:rFonts w:hint="eastAsia" w:asciiTheme="majorEastAsia" w:hAnsiTheme="majorEastAsia" w:eastAsiaTheme="majorEastAsia" w:cstheme="majorEastAsia"/>
          <w:b/>
          <w:bCs/>
          <w:color w:val="auto"/>
          <w:sz w:val="30"/>
          <w:szCs w:val="30"/>
          <w:lang w:val="en-US" w:eastAsia="zh-CN"/>
        </w:rPr>
      </w:pPr>
      <w:r>
        <w:rPr>
          <w:rFonts w:hint="eastAsia" w:asciiTheme="majorEastAsia" w:hAnsiTheme="majorEastAsia" w:eastAsiaTheme="majorEastAsia" w:cstheme="majorEastAsia"/>
          <w:b/>
          <w:bCs/>
          <w:color w:val="auto"/>
          <w:sz w:val="30"/>
          <w:szCs w:val="30"/>
          <w:lang w:val="en-US" w:eastAsia="zh-CN"/>
        </w:rPr>
        <w:t>5  房屋征收信息一体化平台功能解读</w:t>
      </w:r>
    </w:p>
    <w:p>
      <w:pPr>
        <w:jc w:val="center"/>
        <w:rPr>
          <w:color w:val="auto"/>
        </w:rPr>
      </w:pPr>
      <w:r>
        <w:rPr>
          <w:color w:val="auto"/>
        </w:rPr>
        <w:drawing>
          <wp:inline distT="0" distB="0" distL="114300" distR="114300">
            <wp:extent cx="4048125" cy="3951605"/>
            <wp:effectExtent l="0" t="0" r="9525" b="10795"/>
            <wp:docPr id="188418" name="图片 1" descr="微信图片_2020110922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8" name="图片 1" descr="微信图片_20201109221638"/>
                    <pic:cNvPicPr>
                      <a:picLocks noChangeAspect="1"/>
                    </pic:cNvPicPr>
                  </pic:nvPicPr>
                  <pic:blipFill>
                    <a:blip r:embed="rId8"/>
                    <a:srcRect r="13838"/>
                    <a:stretch>
                      <a:fillRect/>
                    </a:stretch>
                  </pic:blipFill>
                  <pic:spPr>
                    <a:xfrm>
                      <a:off x="0" y="0"/>
                      <a:ext cx="4048125" cy="3951605"/>
                    </a:xfrm>
                    <a:prstGeom prst="rect">
                      <a:avLst/>
                    </a:prstGeom>
                    <a:noFill/>
                    <a:ln w="9525">
                      <a:noFill/>
                    </a:ln>
                  </pic:spPr>
                </pic:pic>
              </a:graphicData>
            </a:graphic>
          </wp:inline>
        </w:drawing>
      </w:r>
    </w:p>
    <w:p>
      <w:pPr>
        <w:jc w:val="center"/>
        <w:rPr>
          <w:rFonts w:hint="default" w:ascii="Times New Roman" w:hAnsi="Times New Roman" w:cs="Times New Roman" w:eastAsiaTheme="minorEastAsia"/>
          <w:color w:val="auto"/>
          <w:sz w:val="21"/>
          <w:szCs w:val="21"/>
        </w:rPr>
      </w:pPr>
      <w:r>
        <w:rPr>
          <w:rFonts w:hint="eastAsia" w:asciiTheme="minorEastAsia" w:hAnsiTheme="minorEastAsia" w:cstheme="minorEastAsia"/>
          <w:color w:val="auto"/>
          <w:sz w:val="21"/>
          <w:szCs w:val="21"/>
          <w:lang w:val="en-US" w:eastAsia="zh-CN"/>
        </w:rPr>
        <w:t xml:space="preserve">图3 </w:t>
      </w:r>
      <w:r>
        <w:rPr>
          <w:rFonts w:hint="eastAsia" w:asciiTheme="minorEastAsia" w:hAnsiTheme="minorEastAsia" w:eastAsiaTheme="minorEastAsia" w:cstheme="minorEastAsia"/>
          <w:color w:val="auto"/>
          <w:sz w:val="21"/>
          <w:szCs w:val="21"/>
        </w:rPr>
        <w:t>信息平台体系架构图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房屋征收信息一体化服务平台应具备项目管理系统，信息查询系统，项目督查系统，征收服务系统</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如图3所示</w:t>
      </w:r>
      <w:r>
        <w:rPr>
          <w:rFonts w:hint="eastAsia" w:ascii="Times New Roman" w:hAnsi="Times New Roman" w:cs="Times New Roman"/>
          <w:color w:val="auto"/>
          <w:sz w:val="24"/>
          <w:szCs w:val="24"/>
          <w:lang w:eastAsia="zh-CN"/>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lang w:eastAsia="zh-CN"/>
        </w:rPr>
      </w:pPr>
      <w:r>
        <w:rPr>
          <w:rFonts w:hint="eastAsia" w:ascii="Times New Roman" w:hAnsi="Times New Roman" w:cs="Times New Roman"/>
          <w:b/>
          <w:bCs/>
          <w:color w:val="auto"/>
          <w:sz w:val="28"/>
          <w:szCs w:val="28"/>
          <w:lang w:val="en-US" w:eastAsia="zh-CN"/>
        </w:rPr>
        <w:t>5</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1</w:t>
      </w:r>
      <w:r>
        <w:rPr>
          <w:rFonts w:hint="default"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lang w:eastAsia="zh-CN"/>
        </w:rPr>
        <w:t>项目管理系统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主要面向业主单位、实施单位及房屋征收部门等相关部门。由业主单位负责提交项目批准文件、规划红线图等材料，并对项目报批等相关前期工作材料进行扫描上传录入，并根据项目进展情况负责筹措和协调项目资金；由实施单位负责落实各个房屋征收项目被征收人的相关信息，对房屋征收范围内房屋的权属、用途、建筑面积等情况进行调查登记，宣传项目房屋征收补偿方案，承担数据的采集与录入工作，完善系统的各项数据，及时更新项目进度等，后期根据征收情况对已签约分房户通过平台系统招标委托具有相应资质的施工企业承担被征收房屋的拆除工作等；由征收部门负责房屋征收申报工作，按程序公开选定评估机构，拟定房屋征收补偿方案，安置房房源动态管理、对房屋征收补偿方案进行录入并负责解释回答具体的房屋征收政策，对房屋征收签约情况、安置情况等进行及时公示，并通过一体化服务平台进行房屋征收工作人员网上直播培训等</w:t>
      </w:r>
      <w:r>
        <w:rPr>
          <w:rStyle w:val="9"/>
          <w:rFonts w:hint="default" w:ascii="Times New Roman" w:hAnsi="Times New Roman" w:cs="Times New Roman" w:eastAsiaTheme="minorEastAsia"/>
          <w:color w:val="auto"/>
          <w:sz w:val="24"/>
          <w:szCs w:val="24"/>
        </w:rPr>
        <w:t>[</w:t>
      </w:r>
      <w:r>
        <w:rPr>
          <w:rStyle w:val="9"/>
          <w:rFonts w:hint="default" w:ascii="Times New Roman" w:hAnsi="Times New Roman" w:cs="Times New Roman" w:eastAsiaTheme="minorEastAsia"/>
          <w:color w:val="auto"/>
          <w:sz w:val="24"/>
          <w:szCs w:val="24"/>
        </w:rPr>
        <w:endnoteReference w:id="12"/>
      </w:r>
      <w:r>
        <w:rPr>
          <w:rStyle w:val="9"/>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lang w:eastAsia="zh-CN"/>
        </w:rPr>
      </w:pPr>
      <w:r>
        <w:rPr>
          <w:rFonts w:hint="eastAsia" w:ascii="Times New Roman" w:hAnsi="Times New Roman" w:cs="Times New Roman"/>
          <w:b/>
          <w:bCs/>
          <w:color w:val="auto"/>
          <w:sz w:val="28"/>
          <w:szCs w:val="28"/>
          <w:lang w:val="en-US" w:eastAsia="zh-CN"/>
        </w:rPr>
        <w:t>5</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2</w:t>
      </w:r>
      <w:r>
        <w:rPr>
          <w:rFonts w:hint="default"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lang w:eastAsia="zh-CN"/>
        </w:rPr>
        <w:t>信息查询系统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主要面向被征收人等相关权益人，被征收人可以登入系统查看个人房屋登记信息，各项目房屋征收补偿方案，了解项目房屋征收进度，评估机构选定结果，评估价格结果公示，还有对各项政策文件的解读，安置房建设相关情况，或者搜索关键字查询征收政策，项目概况，并且能够提出个人意见及问题等功能。</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lang w:eastAsia="zh-CN"/>
        </w:rPr>
      </w:pPr>
      <w:r>
        <w:rPr>
          <w:rFonts w:hint="eastAsia" w:ascii="Times New Roman" w:hAnsi="Times New Roman" w:cs="Times New Roman"/>
          <w:b/>
          <w:bCs/>
          <w:color w:val="auto"/>
          <w:sz w:val="28"/>
          <w:szCs w:val="28"/>
          <w:lang w:val="en-US" w:eastAsia="zh-CN"/>
        </w:rPr>
        <w:t>5</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3</w:t>
      </w:r>
      <w:r>
        <w:rPr>
          <w:rFonts w:hint="default"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lang w:eastAsia="zh-CN"/>
        </w:rPr>
        <w:t>项目督查系统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主要面向房屋征收部门、重点办、督查室等部门，随时跟踪项目的进度与实施情况，细化任务清单，将年度任务、序时进度、考核标准等数据及进行详细分解，列出工作清单，融入系统平台，提出监督指导意见，做到任务明确，思路清晰。</w:t>
      </w:r>
    </w:p>
    <w:p>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default" w:ascii="Times New Roman" w:hAnsi="Times New Roman" w:cs="Times New Roman" w:eastAsiaTheme="minorEastAsia"/>
          <w:b/>
          <w:bCs/>
          <w:color w:val="auto"/>
          <w:sz w:val="28"/>
          <w:szCs w:val="28"/>
          <w:lang w:eastAsia="zh-CN"/>
        </w:rPr>
      </w:pPr>
      <w:r>
        <w:rPr>
          <w:rFonts w:hint="eastAsia" w:ascii="Times New Roman" w:hAnsi="Times New Roman" w:cs="Times New Roman"/>
          <w:b/>
          <w:bCs/>
          <w:color w:val="auto"/>
          <w:sz w:val="28"/>
          <w:szCs w:val="28"/>
          <w:lang w:val="en-US" w:eastAsia="zh-CN"/>
        </w:rPr>
        <w:t>5</w:t>
      </w:r>
      <w:r>
        <w:rPr>
          <w:rFonts w:hint="default" w:ascii="Times New Roman" w:hAnsi="Times New Roman" w:cs="Times New Roman" w:eastAsiaTheme="minorEastAsia"/>
          <w:b/>
          <w:bCs/>
          <w:color w:val="auto"/>
          <w:sz w:val="28"/>
          <w:szCs w:val="28"/>
          <w:lang w:val="en-US" w:eastAsia="zh-CN"/>
        </w:rPr>
        <w:t>.</w:t>
      </w:r>
      <w:r>
        <w:rPr>
          <w:rFonts w:hint="eastAsia" w:ascii="Times New Roman" w:hAnsi="Times New Roman" w:cs="Times New Roman"/>
          <w:b/>
          <w:bCs/>
          <w:color w:val="auto"/>
          <w:sz w:val="28"/>
          <w:szCs w:val="28"/>
          <w:lang w:val="en-US" w:eastAsia="zh-CN"/>
        </w:rPr>
        <w:t>4</w:t>
      </w:r>
      <w:bookmarkStart w:id="2" w:name="_GoBack"/>
      <w:bookmarkEnd w:id="2"/>
      <w:r>
        <w:rPr>
          <w:rFonts w:hint="default" w:ascii="Times New Roman" w:hAnsi="Times New Roman" w:cs="Times New Roman" w:eastAsiaTheme="minorEastAsia"/>
          <w:b/>
          <w:bCs/>
          <w:color w:val="auto"/>
          <w:sz w:val="28"/>
          <w:szCs w:val="28"/>
          <w:lang w:val="en-US" w:eastAsia="zh-CN"/>
        </w:rPr>
        <w:t xml:space="preserve"> </w:t>
      </w:r>
      <w:r>
        <w:rPr>
          <w:rFonts w:hint="eastAsia" w:ascii="Times New Roman" w:hAnsi="Times New Roman" w:cs="Times New Roman"/>
          <w:b/>
          <w:bCs/>
          <w:color w:val="auto"/>
          <w:sz w:val="28"/>
          <w:szCs w:val="28"/>
          <w:lang w:val="en-US" w:eastAsia="zh-CN"/>
        </w:rPr>
        <w:t xml:space="preserve"> </w:t>
      </w:r>
      <w:r>
        <w:rPr>
          <w:rFonts w:hint="default" w:ascii="Times New Roman" w:hAnsi="Times New Roman" w:cs="Times New Roman" w:eastAsiaTheme="minorEastAsia"/>
          <w:b/>
          <w:bCs/>
          <w:color w:val="auto"/>
          <w:sz w:val="28"/>
          <w:szCs w:val="28"/>
          <w:lang w:eastAsia="zh-CN"/>
        </w:rPr>
        <w:t>征收服务系统</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主要面向被征收人，功能包括线上或手机APP查询个人房屋征收相关信息，根据涉及房屋征收范围内本人住宅产权登记信息等，生成房屋征收补偿安置协议，查看自己所能得到的产权调换面积及货币补偿金额等，并且能够在线签订房屋征收补偿协议及安置协议，查看安置房的具体情况，在线领取房屋征收补偿金及过渡费、安置费等各项费用。</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ajorEastAsia"/>
          <w:b/>
          <w:bCs/>
          <w:color w:val="auto"/>
          <w:sz w:val="30"/>
          <w:szCs w:val="30"/>
          <w:lang w:val="en-US" w:eastAsia="zh-CN"/>
        </w:rPr>
        <w:t xml:space="preserve">6 </w:t>
      </w:r>
      <w:r>
        <w:rPr>
          <w:rFonts w:hint="eastAsia" w:ascii="Times New Roman" w:hAnsi="Times New Roman" w:cs="Times New Roman" w:eastAsiaTheme="majorEastAsia"/>
          <w:b/>
          <w:bCs/>
          <w:color w:val="auto"/>
          <w:sz w:val="30"/>
          <w:szCs w:val="30"/>
          <w:lang w:val="en-US" w:eastAsia="zh-CN"/>
        </w:rPr>
        <w:t xml:space="preserve"> </w:t>
      </w:r>
      <w:r>
        <w:rPr>
          <w:rFonts w:hint="default" w:ascii="Times New Roman" w:hAnsi="Times New Roman" w:cs="Times New Roman" w:eastAsiaTheme="majorEastAsia"/>
          <w:b/>
          <w:bCs/>
          <w:color w:val="auto"/>
          <w:sz w:val="30"/>
          <w:szCs w:val="30"/>
          <w:lang w:val="en-US" w:eastAsia="zh-CN"/>
        </w:rPr>
        <w:t>结语</w:t>
      </w:r>
      <w:r>
        <w:rPr>
          <w:rFonts w:hint="default" w:ascii="Times New Roman" w:hAnsi="Times New Roman" w:cs="Times New Roman" w:eastAsiaTheme="minorEastAsia"/>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建立房屋征收一体化信息服务平台能够规范房屋征收流程，弱化房屋征收风险性，切实提高房屋征收工作效率，降低房屋征收后期成本，有助于提升政府公信力，让房屋征收工作更加深入公众。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房屋征收一体化信息服务平台，以房屋征收各项基础数据为核心，将房屋征收流程中所包含的各个环节整合于一个平台，做到从前期的审核报批、产权权属调查摸底、评估机构选定和补偿方案等政策性文件的拟定方案拟定到实施过程中的实时监控，签订房屋征收补偿协议，化解各类具体问题，再到后期的补偿金额、房源安置情况公示、以及领取房屋征收补偿金等都可以通过房屋征收一体化信息服务平台实现。</w:t>
      </w:r>
    </w:p>
    <w:p>
      <w:pPr>
        <w:rPr>
          <w:rFonts w:hint="eastAsia"/>
          <w:color w:val="auto"/>
        </w:rPr>
      </w:pPr>
    </w:p>
    <w:p>
      <w:pPr>
        <w:rPr>
          <w:rFonts w:hint="eastAsia"/>
          <w:color w:val="auto"/>
        </w:rPr>
      </w:pPr>
    </w:p>
    <w:p>
      <w:pPr>
        <w:rPr>
          <w:color w:val="auto"/>
        </w:rPr>
      </w:pPr>
      <w:r>
        <w:rPr>
          <w:rFonts w:eastAsia="新宋体"/>
          <w:b/>
          <w:color w:val="auto"/>
          <w:kern w:val="0"/>
          <w:sz w:val="24"/>
        </w:rPr>
        <w:t>参考文献：</w:t>
      </w:r>
    </w:p>
    <w:sectPr>
      <w:footnotePr>
        <w:numFmt w:val="decimal"/>
      </w:footnotePr>
      <w:endnotePr>
        <w:numFmt w:val="decimal"/>
      </w:endnote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26">
    <w:p/>
  </w:endnote>
  <w:endnote w:type="continuationSeparator" w:id="27">
    <w:p/>
  </w:endnote>
  <w:endnote w:id="0">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color w:val="000000"/>
          <w:kern w:val="0"/>
          <w:sz w:val="20"/>
          <w:szCs w:val="20"/>
          <w:lang w:val="en-US" w:eastAsia="zh-CN" w:bidi="ar"/>
        </w:rPr>
      </w:pPr>
      <w:bookmarkStart w:id="0" w:name="_Ref30377"/>
      <w:r>
        <w:rPr>
          <w:rFonts w:hint="default" w:ascii="Times New Roman" w:hAnsi="Times New Roman" w:eastAsia="新宋体" w:cs="Times New Roman"/>
          <w:kern w:val="0"/>
          <w:sz w:val="18"/>
          <w:szCs w:val="18"/>
        </w:rPr>
        <w:t xml:space="preserve">[1] </w:t>
      </w:r>
      <w:r>
        <w:rPr>
          <w:rFonts w:hint="default" w:ascii="Times New Roman" w:hAnsi="Times New Roman" w:eastAsia="宋体" w:cs="Times New Roman"/>
          <w:sz w:val="20"/>
          <w:szCs w:val="20"/>
          <w:lang w:val="en-US" w:eastAsia="zh-CN"/>
        </w:rPr>
        <w:t>刘涛.“互联网+政务服务”政府治理创新研究[J].合作经济与科技,2018(04):180-183</w:t>
      </w:r>
      <w:bookmarkEnd w:id="0"/>
      <w:r>
        <w:rPr>
          <w:rFonts w:hint="default" w:ascii="Times New Roman" w:hAnsi="Times New Roman" w:eastAsia="宋体" w:cs="Times New Roman"/>
          <w:sz w:val="20"/>
          <w:szCs w:val="20"/>
          <w:lang w:val="en-US" w:eastAsia="zh-CN"/>
        </w:rPr>
        <w:t>.</w:t>
      </w:r>
    </w:p>
  </w:endnote>
  <w:endnote w:id="1">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2</w:t>
      </w:r>
      <w:r>
        <w:rPr>
          <w:rFonts w:hint="default" w:ascii="Times New Roman" w:hAnsi="Times New Roman" w:eastAsia="新宋体" w:cs="Times New Roman"/>
          <w:kern w:val="0"/>
          <w:sz w:val="18"/>
          <w:szCs w:val="18"/>
        </w:rPr>
        <w:t>]</w:t>
      </w:r>
      <w:r>
        <w:rPr>
          <w:rFonts w:hint="default" w:ascii="Times New Roman" w:hAnsi="Times New Roman" w:eastAsia="宋体" w:cs="Times New Roman"/>
          <w:sz w:val="20"/>
          <w:szCs w:val="20"/>
        </w:rPr>
        <w:t xml:space="preserve"> </w:t>
      </w:r>
      <w:r>
        <w:rPr>
          <w:rFonts w:hint="default" w:ascii="Times New Roman" w:hAnsi="Times New Roman" w:eastAsia="宋体" w:cs="Times New Roman"/>
          <w:color w:val="000000"/>
          <w:kern w:val="0"/>
          <w:sz w:val="20"/>
          <w:szCs w:val="20"/>
          <w:lang w:val="en-US" w:eastAsia="zh-CN" w:bidi="ar"/>
        </w:rPr>
        <w:t>张丽丽.档案信息化建设与档案管理的探索与思考[J].人力资源管理,2018,(3).</w:t>
      </w:r>
    </w:p>
  </w:endnote>
  <w:endnote w:id="2">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3</w:t>
      </w:r>
      <w:r>
        <w:rPr>
          <w:rFonts w:hint="default" w:ascii="Times New Roman" w:hAnsi="Times New Roman" w:eastAsia="新宋体" w:cs="Times New Roman"/>
          <w:kern w:val="0"/>
          <w:sz w:val="18"/>
          <w:szCs w:val="18"/>
        </w:rPr>
        <w:t>]</w:t>
      </w:r>
      <w:r>
        <w:rPr>
          <w:rFonts w:hint="default" w:ascii="Times New Roman" w:hAnsi="Times New Roman" w:eastAsia="宋体" w:cs="Times New Roman"/>
          <w:sz w:val="20"/>
          <w:szCs w:val="20"/>
        </w:rPr>
        <w:t xml:space="preserve"> </w:t>
      </w:r>
      <w:r>
        <w:rPr>
          <w:rFonts w:hint="default" w:ascii="Times New Roman" w:hAnsi="Times New Roman" w:eastAsia="宋体" w:cs="Times New Roman"/>
          <w:color w:val="000000"/>
          <w:kern w:val="0"/>
          <w:sz w:val="20"/>
          <w:szCs w:val="20"/>
          <w:lang w:val="en-US" w:eastAsia="zh-CN" w:bidi="ar"/>
        </w:rPr>
        <w:t>金俊平,孙杨,喻湧.江西省:建设数据交换平台,实现政务信息共享[J].中国信息界,2017(02):</w:t>
      </w:r>
    </w:p>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宋体" w:cs="Times New Roman"/>
          <w:color w:val="000000"/>
          <w:kern w:val="0"/>
          <w:sz w:val="20"/>
          <w:szCs w:val="20"/>
          <w:lang w:val="en-US" w:eastAsia="zh-CN" w:bidi="ar"/>
        </w:rPr>
        <w:t>82-85.</w:t>
      </w:r>
    </w:p>
  </w:endnote>
  <w:endnote w:id="3">
    <w:p>
      <w:pPr>
        <w:pStyle w:val="2"/>
        <w:snapToGrid w:val="0"/>
        <w:rPr>
          <w:rFonts w:hint="default" w:ascii="Times New Roman" w:hAnsi="Times New Roman" w:eastAsia="宋体" w:cs="Times New Roman"/>
          <w:sz w:val="20"/>
          <w:szCs w:val="20"/>
          <w:lang w:val="en-US"/>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4</w:t>
      </w:r>
      <w:r>
        <w:rPr>
          <w:rFonts w:hint="default" w:ascii="Times New Roman" w:hAnsi="Times New Roman" w:eastAsia="新宋体" w:cs="Times New Roman"/>
          <w:kern w:val="0"/>
          <w:sz w:val="18"/>
          <w:szCs w:val="18"/>
        </w:rPr>
        <w:t>]</w:t>
      </w:r>
      <w:r>
        <w:rPr>
          <w:rFonts w:hint="default" w:ascii="Times New Roman" w:hAnsi="Times New Roman" w:eastAsia="宋体" w:cs="Times New Roman"/>
          <w:sz w:val="20"/>
          <w:szCs w:val="20"/>
        </w:rPr>
        <w:t xml:space="preserve"> </w:t>
      </w:r>
      <w:r>
        <w:rPr>
          <w:rFonts w:hint="default" w:ascii="Times New Roman" w:hAnsi="Times New Roman" w:eastAsia="宋体" w:cs="Times New Roman"/>
          <w:color w:val="000000"/>
          <w:kern w:val="0"/>
          <w:sz w:val="20"/>
          <w:szCs w:val="20"/>
          <w:lang w:val="en-US" w:eastAsia="zh-CN" w:bidi="ar"/>
        </w:rPr>
        <w:t>李昌瑞.经济新常态下的公共治理创新[J].探索与争鸣.2015(7):112.</w:t>
      </w:r>
    </w:p>
  </w:endnote>
  <w:endnote w:id="4">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5</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渠滢.不动产被征收者参与权的价值定位与制定重构[J].中国法学.2018(2):11-15.</w:t>
      </w:r>
    </w:p>
  </w:endnote>
  <w:endnote w:id="5">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6</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衣继红.如何完善房屋征收档案管理信息化建设[J].中小企业管理与科技(中旬刊),</w:t>
      </w:r>
    </w:p>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宋体" w:cs="Times New Roman"/>
          <w:color w:val="000000"/>
          <w:kern w:val="0"/>
          <w:sz w:val="20"/>
          <w:szCs w:val="20"/>
          <w:lang w:val="en-US" w:eastAsia="zh-CN" w:bidi="ar"/>
        </w:rPr>
        <w:t>2015,(11):47.</w:t>
      </w:r>
    </w:p>
  </w:endnote>
  <w:endnote w:id="6">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7</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商琳，骆斌．一种基于数据仓库的数据挖掘系统的结构框架[J].计算机应用研究,2000,</w:t>
      </w:r>
    </w:p>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宋体" w:cs="Times New Roman"/>
          <w:color w:val="000000"/>
          <w:kern w:val="0"/>
          <w:sz w:val="20"/>
          <w:szCs w:val="20"/>
          <w:lang w:val="en-US" w:eastAsia="zh-CN" w:bidi="ar"/>
        </w:rPr>
        <w:t xml:space="preserve">17(9):63-65. </w:t>
      </w:r>
    </w:p>
  </w:endnote>
  <w:endnote w:id="7">
    <w:p>
      <w:pPr>
        <w:pStyle w:val="2"/>
        <w:snapToGrid w:val="0"/>
        <w:rPr>
          <w:rFonts w:hint="default" w:ascii="Times New Roman" w:hAnsi="Times New Roman" w:eastAsia="宋体" w:cs="Times New Roman"/>
          <w:sz w:val="20"/>
          <w:szCs w:val="20"/>
        </w:rPr>
      </w:pPr>
      <w:bookmarkStart w:id="1" w:name="_Ref19413"/>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8</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sz w:val="20"/>
          <w:szCs w:val="20"/>
          <w:lang w:val="en-US" w:eastAsia="zh-CN"/>
        </w:rPr>
        <w:t>于涛,徐志锐,万山.地级市集体土地房屋征收信息化建设思考[J].中国集体经济</w:t>
      </w:r>
      <w:bookmarkEnd w:id="1"/>
      <w:r>
        <w:rPr>
          <w:rFonts w:hint="default" w:ascii="Times New Roman" w:hAnsi="Times New Roman" w:eastAsia="宋体" w:cs="Times New Roman"/>
          <w:kern w:val="2"/>
          <w:sz w:val="20"/>
          <w:szCs w:val="20"/>
          <w:lang w:val="en-US" w:eastAsia="zh-CN" w:bidi="ar-SA"/>
        </w:rPr>
        <w:t>,2019(24):8-9.</w:t>
      </w:r>
    </w:p>
  </w:endnote>
  <w:endnote w:id="8">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9</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束顺民.西方政治参与研究述要[J].国家行政学院学报.2005(5):91.</w:t>
      </w:r>
    </w:p>
  </w:endnote>
  <w:endnote w:id="9">
    <w:p>
      <w:pPr>
        <w:keepNext w:val="0"/>
        <w:keepLines w:val="0"/>
        <w:widowControl/>
        <w:suppressLineNumbers w:val="0"/>
        <w:jc w:val="left"/>
        <w:rPr>
          <w:rFonts w:hint="default" w:ascii="Times New Roman" w:hAnsi="Times New Roman" w:eastAsia="宋体" w:cs="Times New Roman"/>
          <w:color w:val="000000"/>
          <w:kern w:val="0"/>
          <w:sz w:val="20"/>
          <w:szCs w:val="20"/>
          <w:lang w:val="en-US" w:eastAsia="zh-CN" w:bidi="ar"/>
        </w:rPr>
      </w:pPr>
      <w:r>
        <w:rPr>
          <w:rFonts w:hint="default" w:ascii="Times New Roman" w:hAnsi="Times New Roman" w:eastAsia="新宋体" w:cs="Times New Roman"/>
          <w:kern w:val="0"/>
          <w:sz w:val="18"/>
          <w:szCs w:val="18"/>
        </w:rPr>
        <w:t>[1</w:t>
      </w:r>
      <w:r>
        <w:rPr>
          <w:rFonts w:hint="eastAsia" w:ascii="Times New Roman" w:hAnsi="Times New Roman" w:eastAsia="新宋体" w:cs="Times New Roman"/>
          <w:kern w:val="0"/>
          <w:sz w:val="18"/>
          <w:szCs w:val="18"/>
          <w:lang w:val="en-US" w:eastAsia="zh-CN"/>
        </w:rPr>
        <w:t>0</w:t>
      </w:r>
      <w:r>
        <w:rPr>
          <w:rFonts w:hint="default" w:ascii="Times New Roman" w:hAnsi="Times New Roman" w:eastAsia="新宋体" w:cs="Times New Roman"/>
          <w:kern w:val="0"/>
          <w:sz w:val="18"/>
          <w:szCs w:val="18"/>
        </w:rPr>
        <w:t>]</w:t>
      </w:r>
      <w:r>
        <w:rPr>
          <w:rFonts w:hint="default" w:ascii="Times New Roman" w:hAnsi="Times New Roman" w:eastAsia="宋体" w:cs="Times New Roman"/>
          <w:sz w:val="20"/>
          <w:szCs w:val="20"/>
        </w:rPr>
        <w:t xml:space="preserve"> </w:t>
      </w:r>
      <w:r>
        <w:rPr>
          <w:rFonts w:hint="default" w:ascii="Times New Roman" w:hAnsi="Times New Roman" w:eastAsia="宋体" w:cs="Times New Roman"/>
          <w:color w:val="000000"/>
          <w:kern w:val="0"/>
          <w:sz w:val="20"/>
          <w:szCs w:val="20"/>
          <w:lang w:val="en-US" w:eastAsia="zh-CN" w:bidi="ar"/>
        </w:rPr>
        <w:t>骆亮,黄金龙,李森.PaaS模式下的电子政务信息系统研究[J].广西科学学报,2010,26(4):</w:t>
      </w:r>
    </w:p>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宋体" w:cs="Times New Roman"/>
          <w:color w:val="000000"/>
          <w:kern w:val="0"/>
          <w:sz w:val="20"/>
          <w:szCs w:val="20"/>
          <w:lang w:val="en-US" w:eastAsia="zh-CN" w:bidi="ar"/>
        </w:rPr>
        <w:t>507-509.</w:t>
      </w:r>
    </w:p>
  </w:endnote>
  <w:endnote w:id="10">
    <w:p>
      <w:pPr>
        <w:keepNext w:val="0"/>
        <w:keepLines w:val="0"/>
        <w:widowControl/>
        <w:suppressLineNumbers w:val="0"/>
        <w:jc w:val="left"/>
        <w:rPr>
          <w:rFonts w:hint="default" w:ascii="Times New Roman" w:hAnsi="Times New Roman" w:eastAsia="宋体" w:cs="Times New Roman"/>
          <w:sz w:val="20"/>
          <w:szCs w:val="20"/>
        </w:rPr>
      </w:pP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1</w:t>
      </w:r>
      <w:r>
        <w:rPr>
          <w:rFonts w:hint="default" w:ascii="Times New Roman" w:hAnsi="Times New Roman" w:eastAsia="新宋体" w:cs="Times New Roman"/>
          <w:kern w:val="0"/>
          <w:sz w:val="18"/>
          <w:szCs w:val="18"/>
        </w:rPr>
        <w:t>1]</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赵小肖,PaaS 模式下私有云政务架构设计与实现[D].曲阜师范大学,2013.</w:t>
      </w:r>
    </w:p>
  </w:endnote>
  <w:endnote w:id="11">
    <w:p>
      <w:pPr>
        <w:keepNext w:val="0"/>
        <w:keepLines w:val="0"/>
        <w:widowControl/>
        <w:suppressLineNumbers w:val="0"/>
        <w:jc w:val="left"/>
        <w:rPr>
          <w:rFonts w:hint="default" w:ascii="Times New Roman" w:hAnsi="Times New Roman" w:eastAsia="宋体" w:cs="Times New Roman"/>
          <w:sz w:val="20"/>
          <w:szCs w:val="20"/>
          <w:lang w:val="en-US"/>
        </w:rPr>
      </w:pPr>
      <w:r>
        <w:rPr>
          <w:rFonts w:hint="default" w:ascii="Times New Roman" w:hAnsi="Times New Roman" w:eastAsia="新宋体" w:cs="Times New Roman"/>
          <w:kern w:val="0"/>
          <w:sz w:val="18"/>
          <w:szCs w:val="18"/>
        </w:rPr>
        <w:t>[1</w:t>
      </w:r>
      <w:r>
        <w:rPr>
          <w:rFonts w:hint="eastAsia" w:ascii="Times New Roman" w:hAnsi="Times New Roman" w:eastAsia="新宋体" w:cs="Times New Roman"/>
          <w:kern w:val="0"/>
          <w:sz w:val="18"/>
          <w:szCs w:val="18"/>
          <w:lang w:val="en-US" w:eastAsia="zh-CN"/>
        </w:rPr>
        <w:t>2</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color w:val="000000"/>
          <w:kern w:val="0"/>
          <w:sz w:val="20"/>
          <w:szCs w:val="20"/>
          <w:lang w:val="en-US" w:eastAsia="zh-CN" w:bidi="ar"/>
        </w:rPr>
        <w:t>张瑞.ETL数据抽取研究综述[J].软件导刊,2010,10(9):164-165.</w:t>
      </w:r>
    </w:p>
  </w:endnote>
  <w:endnote w:id="12">
    <w:p>
      <w:pPr>
        <w:pStyle w:val="2"/>
        <w:snapToGrid w:val="0"/>
        <w:rPr>
          <w:rFonts w:hint="default" w:ascii="Times New Roman" w:hAnsi="Times New Roman" w:eastAsia="宋体" w:cs="Times New Roman"/>
          <w:sz w:val="20"/>
          <w:szCs w:val="20"/>
        </w:rPr>
      </w:pPr>
      <w:r>
        <w:rPr>
          <w:rFonts w:hint="default" w:ascii="Times New Roman" w:hAnsi="Times New Roman" w:eastAsia="新宋体" w:cs="Times New Roman"/>
          <w:kern w:val="0"/>
          <w:sz w:val="18"/>
          <w:szCs w:val="18"/>
        </w:rPr>
        <w:t>[1</w:t>
      </w:r>
      <w:r>
        <w:rPr>
          <w:rFonts w:hint="eastAsia" w:ascii="Times New Roman" w:hAnsi="Times New Roman" w:eastAsia="新宋体" w:cs="Times New Roman"/>
          <w:kern w:val="0"/>
          <w:sz w:val="18"/>
          <w:szCs w:val="18"/>
          <w:lang w:val="en-US" w:eastAsia="zh-CN"/>
        </w:rPr>
        <w:t>3</w:t>
      </w:r>
      <w:r>
        <w:rPr>
          <w:rFonts w:hint="default" w:ascii="Times New Roman" w:hAnsi="Times New Roman" w:eastAsia="新宋体" w:cs="Times New Roman"/>
          <w:kern w:val="0"/>
          <w:sz w:val="18"/>
          <w:szCs w:val="18"/>
        </w:rPr>
        <w:t>]</w:t>
      </w:r>
      <w:r>
        <w:rPr>
          <w:rFonts w:hint="eastAsia" w:ascii="Times New Roman" w:hAnsi="Times New Roman" w:eastAsia="新宋体" w:cs="Times New Roman"/>
          <w:kern w:val="0"/>
          <w:sz w:val="18"/>
          <w:szCs w:val="18"/>
          <w:lang w:val="en-US" w:eastAsia="zh-CN"/>
        </w:rPr>
        <w:t xml:space="preserve"> </w:t>
      </w:r>
      <w:r>
        <w:rPr>
          <w:rFonts w:hint="default" w:ascii="Times New Roman" w:hAnsi="Times New Roman" w:eastAsia="宋体" w:cs="Times New Roman"/>
          <w:sz w:val="20"/>
          <w:szCs w:val="20"/>
          <w:lang w:val="en-US" w:eastAsia="zh-CN"/>
        </w:rPr>
        <w:t>朱君艳.房屋征收拆迁信息系统的建设与发展[J].房地产导刊,</w:t>
      </w:r>
      <w:r>
        <w:rPr>
          <w:rFonts w:hint="default" w:ascii="Times New Roman" w:hAnsi="Times New Roman" w:eastAsia="宋体" w:cs="Times New Roman"/>
          <w:kern w:val="2"/>
          <w:sz w:val="20"/>
          <w:szCs w:val="20"/>
          <w:lang w:val="en-US" w:eastAsia="zh-CN" w:bidi="ar-SA"/>
        </w:rPr>
        <w:t>2016(11):17.</w:t>
      </w:r>
    </w:p>
    <w:p>
      <w:pPr>
        <w:spacing w:before="156" w:beforeLines="50" w:after="156" w:afterLines="50"/>
        <w:jc w:val="right"/>
        <w:rPr>
          <w:rFonts w:hint="default" w:ascii="Times New Roman" w:hAnsi="Times New Roman" w:eastAsia="宋体" w:cs="Times New Roman"/>
          <w:sz w:val="20"/>
          <w:szCs w:val="20"/>
        </w:rPr>
      </w:pPr>
      <w:r>
        <w:rPr>
          <w:rFonts w:eastAsia="新宋体"/>
          <w:kern w:val="0"/>
          <w:sz w:val="18"/>
          <w:szCs w:val="18"/>
        </w:rPr>
        <w:t xml:space="preserve">  (通讯作者: </w:t>
      </w:r>
      <w:r>
        <w:rPr>
          <w:rFonts w:hint="eastAsia" w:eastAsia="新宋体"/>
          <w:kern w:val="0"/>
          <w:sz w:val="18"/>
          <w:szCs w:val="18"/>
          <w:lang w:val="en-US" w:eastAsia="zh-CN"/>
        </w:rPr>
        <w:t>左惠文</w:t>
      </w:r>
      <w:r>
        <w:rPr>
          <w:rFonts w:hint="eastAsia" w:eastAsia="新宋体"/>
          <w:kern w:val="0"/>
          <w:sz w:val="18"/>
          <w:szCs w:val="18"/>
        </w:rPr>
        <w:t>，</w:t>
      </w:r>
      <w:r>
        <w:rPr>
          <w:rFonts w:hint="eastAsia" w:eastAsia="新宋体"/>
          <w:kern w:val="0"/>
          <w:sz w:val="18"/>
          <w:szCs w:val="18"/>
          <w:lang w:eastAsia="zh-CN"/>
        </w:rPr>
        <w:t>联系电话</w:t>
      </w:r>
      <w:r>
        <w:rPr>
          <w:rFonts w:hint="eastAsia" w:eastAsia="新宋体"/>
          <w:kern w:val="0"/>
          <w:sz w:val="18"/>
          <w:szCs w:val="18"/>
          <w:lang w:val="en-US" w:eastAsia="zh-CN"/>
        </w:rPr>
        <w:t>:18558771779</w:t>
      </w:r>
      <w:r>
        <w:rPr>
          <w:rFonts w:hint="eastAsia" w:eastAsia="新宋体"/>
          <w:kern w:val="0"/>
          <w:sz w:val="18"/>
          <w:szCs w:val="18"/>
        </w:rPr>
        <w:t>，</w:t>
      </w:r>
      <w:r>
        <w:rPr>
          <w:rFonts w:eastAsia="新宋体"/>
          <w:kern w:val="0"/>
          <w:sz w:val="18"/>
          <w:szCs w:val="18"/>
        </w:rPr>
        <w:t>E-mail:</w:t>
      </w:r>
      <w:r>
        <w:rPr>
          <w:rFonts w:hint="eastAsia" w:eastAsia="新宋体"/>
          <w:kern w:val="0"/>
          <w:sz w:val="18"/>
          <w:szCs w:val="18"/>
          <w:lang w:val="en-US" w:eastAsia="zh-CN"/>
        </w:rPr>
        <w:t>307336054</w:t>
      </w:r>
      <w:r>
        <w:rPr>
          <w:rFonts w:eastAsia="新宋体"/>
          <w:kern w:val="0"/>
          <w:sz w:val="18"/>
          <w:szCs w:val="18"/>
        </w:rPr>
        <w:t>@</w:t>
      </w:r>
      <w:r>
        <w:rPr>
          <w:rFonts w:hint="eastAsia" w:eastAsia="新宋体"/>
          <w:kern w:val="0"/>
          <w:sz w:val="18"/>
          <w:szCs w:val="18"/>
          <w:lang w:val="en-US" w:eastAsia="zh-CN"/>
        </w:rPr>
        <w:t>qq</w:t>
      </w:r>
      <w:r>
        <w:rPr>
          <w:rFonts w:eastAsia="新宋体"/>
          <w:kern w:val="0"/>
          <w:sz w:val="18"/>
          <w:szCs w:val="18"/>
        </w:rPr>
        <w:t>.com)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footnote>
  <w:footnote w:type="continuationSeparator" w:id="3">
    <w:p/>
  </w:footnote>
  <w:footnote w:id="0">
    <w:p>
      <w:pPr>
        <w:pStyle w:val="5"/>
        <w:spacing w:before="0" w:beforeAutospacing="0" w:after="0" w:afterAutospacing="0"/>
        <w:rPr>
          <w:rFonts w:hint="eastAsia" w:ascii="宋体" w:hAnsi="宋体" w:eastAsia="宋体" w:cs="宋体"/>
          <w:sz w:val="21"/>
          <w:szCs w:val="21"/>
        </w:rPr>
      </w:pPr>
      <w:r>
        <w:rPr>
          <w:rStyle w:val="11"/>
          <w:rFonts w:hint="eastAsia" w:ascii="Times New Roman" w:hAnsi="Times New Roman" w:cs="Arial"/>
          <w:sz w:val="18"/>
          <w:szCs w:val="18"/>
        </w:rPr>
        <w:t>*</w:t>
      </w:r>
      <w:r>
        <w:rPr>
          <w:rFonts w:hint="eastAsia" w:ascii="宋体" w:hAnsi="宋体" w:eastAsia="宋体" w:cs="宋体"/>
          <w:sz w:val="21"/>
          <w:szCs w:val="21"/>
        </w:rPr>
        <w:t>本文系2018年度福建省中青年教师科研项目“</w:t>
      </w:r>
      <w:r>
        <w:rPr>
          <w:rFonts w:hint="eastAsia" w:ascii="宋体" w:hAnsi="宋体" w:eastAsia="宋体" w:cs="宋体"/>
          <w:sz w:val="21"/>
          <w:szCs w:val="21"/>
          <w:lang w:val="en-US" w:eastAsia="zh-CN"/>
        </w:rPr>
        <w:t>互联网+政务服务创新与实践研究</w:t>
      </w:r>
      <w:r>
        <w:rPr>
          <w:rFonts w:hint="eastAsia" w:ascii="宋体" w:hAnsi="宋体" w:eastAsia="宋体" w:cs="宋体"/>
          <w:sz w:val="21"/>
          <w:szCs w:val="21"/>
        </w:rPr>
        <w:t>”（项目编号：</w:t>
      </w:r>
      <w:r>
        <w:rPr>
          <w:rFonts w:hint="eastAsia" w:ascii="宋体" w:hAnsi="宋体" w:eastAsia="宋体" w:cs="宋体"/>
          <w:sz w:val="21"/>
          <w:szCs w:val="21"/>
          <w:lang w:val="en-US" w:eastAsia="zh-CN"/>
        </w:rPr>
        <w:t>JZ180199</w:t>
      </w:r>
      <w:r>
        <w:rPr>
          <w:rFonts w:hint="eastAsia" w:ascii="宋体" w:hAnsi="宋体" w:eastAsia="宋体" w:cs="宋体"/>
          <w:sz w:val="21"/>
          <w:szCs w:val="21"/>
        </w:rPr>
        <w:t>）</w:t>
      </w:r>
      <w:r>
        <w:rPr>
          <w:rFonts w:hint="eastAsia" w:ascii="宋体" w:hAnsi="宋体" w:eastAsia="宋体" w:cs="宋体"/>
          <w:sz w:val="21"/>
          <w:szCs w:val="21"/>
          <w:lang w:val="en-US" w:eastAsia="zh-CN"/>
        </w:rPr>
        <w:t>和“不确定数据融合机理及方法研究”（项目编号：JAT200060）的研究成果之一。</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endnotePr>
    <w:numFmt w:val="decimal"/>
    <w:endnote w:id="26"/>
    <w:endnote w:id="27"/>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821F85"/>
    <w:rsid w:val="08986CB9"/>
    <w:rsid w:val="0F016911"/>
    <w:rsid w:val="0F1B3498"/>
    <w:rsid w:val="17CD7572"/>
    <w:rsid w:val="1820352D"/>
    <w:rsid w:val="1A56732E"/>
    <w:rsid w:val="1A84181E"/>
    <w:rsid w:val="2AAE3039"/>
    <w:rsid w:val="2C485F2A"/>
    <w:rsid w:val="2DE63B1D"/>
    <w:rsid w:val="308953CB"/>
    <w:rsid w:val="3D3E1AC8"/>
    <w:rsid w:val="3D6646ED"/>
    <w:rsid w:val="459F1EAA"/>
    <w:rsid w:val="46313E85"/>
    <w:rsid w:val="4912311D"/>
    <w:rsid w:val="492B33A5"/>
    <w:rsid w:val="4BF21C5E"/>
    <w:rsid w:val="502B765A"/>
    <w:rsid w:val="50DD604C"/>
    <w:rsid w:val="512F44D9"/>
    <w:rsid w:val="58510E64"/>
    <w:rsid w:val="58F642FC"/>
    <w:rsid w:val="5D254708"/>
    <w:rsid w:val="6ACC16B3"/>
    <w:rsid w:val="6D362DC4"/>
    <w:rsid w:val="70D55558"/>
    <w:rsid w:val="78E46730"/>
    <w:rsid w:val="7B821F85"/>
    <w:rsid w:val="7BAE1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endnote text"/>
    <w:basedOn w:val="1"/>
    <w:qFormat/>
    <w:uiPriority w:val="0"/>
    <w:pPr>
      <w:snapToGrid w:val="0"/>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6">
    <w:name w:val="Normal (Web)"/>
    <w:basedOn w:val="1"/>
    <w:uiPriority w:val="0"/>
    <w:pPr>
      <w:spacing w:before="100" w:beforeAutospacing="1" w:after="100" w:afterAutospacing="1"/>
      <w:ind w:left="0" w:right="0"/>
      <w:jc w:val="left"/>
    </w:pPr>
    <w:rPr>
      <w:kern w:val="0"/>
      <w:sz w:val="24"/>
      <w:lang w:val="en-US" w:eastAsia="zh-CN" w:bidi="ar"/>
    </w:rPr>
  </w:style>
  <w:style w:type="character" w:styleId="9">
    <w:name w:val="endnote reference"/>
    <w:basedOn w:val="8"/>
    <w:qFormat/>
    <w:uiPriority w:val="0"/>
    <w:rPr>
      <w:vertAlign w:val="superscript"/>
    </w:rPr>
  </w:style>
  <w:style w:type="character" w:styleId="10">
    <w:name w:val="Hyperlink"/>
    <w:basedOn w:val="8"/>
    <w:semiHidden/>
    <w:unhideWhenUsed/>
    <w:qFormat/>
    <w:uiPriority w:val="99"/>
    <w:rPr>
      <w:color w:val="0000FF"/>
      <w:u w:val="single"/>
    </w:rPr>
  </w:style>
  <w:style w:type="character" w:styleId="11">
    <w:name w:val="footnote reference"/>
    <w:basedOn w:val="8"/>
    <w:qFormat/>
    <w:uiPriority w:val="0"/>
  </w:style>
  <w:style w:type="character" w:customStyle="1" w:styleId="12">
    <w:name w:val="skip"/>
    <w:basedOn w:val="8"/>
    <w:qFormat/>
    <w:uiPriority w:val="0"/>
  </w:style>
  <w:style w:type="character" w:customStyle="1" w:styleId="13">
    <w:name w:val="apple-converted-space"/>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2020-12-01T14:53:00Z</dcterms:created>
  <dc:creator>惠sama</dc:creator>
  <cp:lastModifiedBy>惠sama</cp:lastModifiedBy>
  <cp:lastPrinted>2021-04-05T04:02:00Z</cp:lastPrinted>
  <dcterms:modified xsi:type="dcterms:W3CDTF">2021-04-16T15:52:23Z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93FA5B8C7FBD48F280A659E998A00EAE</vt:lpwstr>
  </property>
</Properties>
</file>