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60" w:lineRule="exact"/>
        <w:jc w:val="center"/>
        <w:rPr>
          <w:rFonts w:ascii="宋体" w:hAnsi="宋体" w:eastAsia="宋体" w:cs="宋体"/>
          <w:b/>
          <w:sz w:val="44"/>
        </w:rPr>
      </w:pPr>
      <w:r>
        <w:rPr>
          <w:rFonts w:hint="eastAsia" w:ascii="宋体" w:hAnsi="宋体" w:eastAsia="宋体" w:cs="宋体"/>
          <w:b/>
          <w:sz w:val="44"/>
          <w:szCs w:val="44"/>
        </w:rPr>
        <w:t>社会保障数据治理与</w:t>
      </w:r>
      <w:r>
        <w:rPr>
          <w:rFonts w:hint="eastAsia" w:ascii="宋体" w:hAnsi="宋体" w:eastAsia="宋体"/>
          <w:b/>
          <w:sz w:val="44"/>
          <w:szCs w:val="44"/>
        </w:rPr>
        <w:t>评估</w:t>
      </w:r>
      <w:r>
        <w:rPr>
          <w:rFonts w:hint="eastAsia" w:ascii="宋体" w:hAnsi="宋体" w:eastAsia="宋体" w:cs="宋体"/>
          <w:b/>
          <w:sz w:val="44"/>
          <w:szCs w:val="44"/>
        </w:rPr>
        <w:t>研究</w:t>
      </w:r>
      <w:r>
        <w:rPr>
          <w:rStyle w:val="8"/>
          <w:rFonts w:ascii="宋体" w:hAnsi="宋体" w:eastAsia="宋体" w:cs="宋体"/>
          <w:b/>
          <w:szCs w:val="21"/>
        </w:rPr>
        <w:footnoteReference w:id="0"/>
      </w:r>
    </w:p>
    <w:p>
      <w:pPr>
        <w:spacing w:line="760" w:lineRule="exact"/>
        <w:jc w:val="center"/>
        <w:rPr>
          <w:rFonts w:ascii="宋体" w:hAnsi="宋体" w:eastAsia="宋体" w:cs="宋体"/>
          <w:b w:val="0"/>
          <w:bCs/>
          <w:szCs w:val="21"/>
        </w:rPr>
      </w:pPr>
      <w:r>
        <w:rPr>
          <w:rFonts w:hint="eastAsia" w:ascii="宋体" w:hAnsi="宋体" w:eastAsia="宋体" w:cs="宋体"/>
          <w:b w:val="0"/>
          <w:bCs/>
          <w:szCs w:val="21"/>
        </w:rPr>
        <w:t>潘枫、安结</w:t>
      </w:r>
    </w:p>
    <w:p>
      <w:pPr>
        <w:spacing w:line="760" w:lineRule="exact"/>
        <w:jc w:val="center"/>
        <w:rPr>
          <w:rFonts w:hint="eastAsia" w:ascii="宋体" w:hAnsi="宋体" w:eastAsia="宋体" w:cs="宋体"/>
          <w:b/>
          <w:szCs w:val="21"/>
        </w:rPr>
      </w:pPr>
      <w:r>
        <w:rPr>
          <w:rFonts w:hint="eastAsia" w:ascii="宋体" w:hAnsi="宋体" w:eastAsia="宋体" w:cs="宋体"/>
          <w:b w:val="0"/>
          <w:bCs/>
          <w:szCs w:val="21"/>
        </w:rPr>
        <w:t>福州大学信息管理研究所</w:t>
      </w:r>
      <w:bookmarkStart w:id="0" w:name="_GoBack"/>
      <w:bookmarkEnd w:id="0"/>
    </w:p>
    <w:p>
      <w:pPr>
        <w:widowControl/>
        <w:ind w:firstLine="422" w:firstLineChars="200"/>
        <w:jc w:val="left"/>
        <w:rPr>
          <w:rFonts w:hint="default" w:ascii="Times New Roman" w:hAnsi="Times New Roman" w:eastAsia="宋体"/>
          <w:szCs w:val="21"/>
          <w:lang w:val="en-US"/>
        </w:rPr>
      </w:pPr>
      <w:r>
        <w:rPr>
          <w:rFonts w:hint="eastAsia" w:ascii="Times New Roman" w:hAnsi="Times New Roman" w:eastAsia="宋体"/>
          <w:b/>
          <w:bCs/>
          <w:szCs w:val="21"/>
        </w:rPr>
        <w:t>摘要：</w:t>
      </w:r>
      <w:r>
        <w:rPr>
          <w:rFonts w:ascii="Times New Roman" w:hAnsi="Times New Roman" w:eastAsia="宋体"/>
          <w:b/>
          <w:bCs/>
          <w:szCs w:val="21"/>
        </w:rPr>
        <w:t>[目的]</w:t>
      </w:r>
      <w:r>
        <w:rPr>
          <w:rFonts w:hint="eastAsia" w:ascii="Times New Roman" w:hAnsi="Times New Roman" w:eastAsia="宋体"/>
          <w:szCs w:val="21"/>
          <w:lang w:val="en-US" w:eastAsia="zh-CN"/>
        </w:rPr>
        <w:t>为推进福州市社会保障数据治理，提升政务服务能力，</w:t>
      </w:r>
      <w:r>
        <w:rPr>
          <w:rFonts w:ascii="Times New Roman" w:hAnsi="Times New Roman" w:eastAsia="宋体"/>
          <w:b/>
          <w:bCs/>
          <w:szCs w:val="21"/>
        </w:rPr>
        <w:t>[方法]</w:t>
      </w:r>
      <w:r>
        <w:rPr>
          <w:rFonts w:hint="eastAsia" w:ascii="Times New Roman" w:hAnsi="Times New Roman" w:eastAsia="宋体"/>
          <w:szCs w:val="21"/>
          <w:lang w:val="en-US" w:eastAsia="zh-CN"/>
        </w:rPr>
        <w:t>本文通过分析社会保障数据治理现状，结合平衡计分卡指标评估体系，进行具体指标打分。</w:t>
      </w:r>
      <w:r>
        <w:rPr>
          <w:rFonts w:ascii="Times New Roman" w:hAnsi="Times New Roman" w:eastAsia="宋体"/>
          <w:b/>
          <w:bCs/>
          <w:szCs w:val="21"/>
        </w:rPr>
        <w:t>[结果]</w:t>
      </w:r>
      <w:r>
        <w:rPr>
          <w:rFonts w:hint="eastAsia" w:ascii="Times New Roman" w:hAnsi="Times New Roman" w:eastAsia="宋体"/>
          <w:szCs w:val="21"/>
          <w:lang w:val="en-US" w:eastAsia="zh-CN"/>
        </w:rPr>
        <w:t>根据指标得分，得出福州市社会保障数据治理存在数据共享率低、技术人才缺乏、监管不到位等问题，这在一定程度上造成了发展的局限性。</w:t>
      </w:r>
      <w:r>
        <w:rPr>
          <w:rFonts w:ascii="Times New Roman" w:hAnsi="Times New Roman" w:eastAsia="宋体"/>
          <w:b/>
          <w:bCs/>
          <w:szCs w:val="21"/>
        </w:rPr>
        <w:t>[局限]</w:t>
      </w:r>
      <w:r>
        <w:rPr>
          <w:rFonts w:hint="eastAsia" w:ascii="Times New Roman" w:hAnsi="Times New Roman" w:eastAsia="宋体"/>
          <w:szCs w:val="21"/>
          <w:lang w:val="en-US" w:eastAsia="zh-CN"/>
        </w:rPr>
        <w:t>本文中通过平衡计分卡指标打分所搜集到的数据有限。</w:t>
      </w:r>
      <w:r>
        <w:rPr>
          <w:rFonts w:ascii="Times New Roman" w:hAnsi="Times New Roman" w:eastAsia="宋体"/>
          <w:b/>
          <w:bCs/>
          <w:szCs w:val="21"/>
        </w:rPr>
        <w:t>[结论]</w:t>
      </w:r>
      <w:r>
        <w:rPr>
          <w:rFonts w:hint="eastAsia" w:ascii="Times New Roman" w:hAnsi="Times New Roman" w:eastAsia="宋体"/>
          <w:szCs w:val="21"/>
          <w:lang w:val="en-US" w:eastAsia="zh-CN"/>
        </w:rPr>
        <w:t>最后，从搭建平台数据共享、加强培训提升能力、做好防范加强监管等方面提出具体可实施改进措施，促进福州市社会保障数据治理的高质量发展。</w:t>
      </w:r>
    </w:p>
    <w:p>
      <w:pPr>
        <w:widowControl/>
        <w:ind w:firstLine="422" w:firstLineChars="200"/>
        <w:jc w:val="left"/>
        <w:rPr>
          <w:rFonts w:hint="eastAsia" w:eastAsia="新宋体"/>
          <w:bCs/>
          <w:kern w:val="0"/>
          <w:szCs w:val="21"/>
        </w:rPr>
      </w:pPr>
      <w:r>
        <w:rPr>
          <w:rFonts w:hint="eastAsia" w:ascii="Times New Roman" w:hAnsi="Times New Roman" w:eastAsia="宋体"/>
          <w:b/>
          <w:bCs/>
          <w:szCs w:val="21"/>
        </w:rPr>
        <w:t>关键词：</w:t>
      </w:r>
      <w:r>
        <w:rPr>
          <w:rFonts w:hint="eastAsia" w:eastAsia="新宋体"/>
          <w:bCs/>
          <w:kern w:val="0"/>
          <w:szCs w:val="21"/>
        </w:rPr>
        <w:t>社会保障</w:t>
      </w:r>
      <w:r>
        <w:rPr>
          <w:rFonts w:eastAsia="新宋体"/>
          <w:bCs/>
          <w:kern w:val="0"/>
          <w:szCs w:val="21"/>
        </w:rPr>
        <w:t xml:space="preserve"> </w:t>
      </w:r>
      <w:r>
        <w:rPr>
          <w:rFonts w:hint="eastAsia" w:eastAsia="新宋体"/>
          <w:bCs/>
          <w:kern w:val="0"/>
          <w:szCs w:val="21"/>
        </w:rPr>
        <w:t>数据治理</w:t>
      </w:r>
      <w:r>
        <w:rPr>
          <w:rFonts w:hint="eastAsia" w:eastAsia="新宋体"/>
          <w:bCs/>
          <w:kern w:val="0"/>
          <w:szCs w:val="21"/>
          <w:lang w:val="en-US" w:eastAsia="zh-CN"/>
        </w:rPr>
        <w:t xml:space="preserve"> </w:t>
      </w:r>
      <w:r>
        <w:rPr>
          <w:rFonts w:hint="eastAsia" w:eastAsia="新宋体"/>
          <w:bCs/>
          <w:kern w:val="0"/>
          <w:szCs w:val="21"/>
        </w:rPr>
        <w:t>平衡计分卡</w:t>
      </w:r>
    </w:p>
    <w:p>
      <w:pPr>
        <w:widowControl/>
        <w:ind w:firstLine="422" w:firstLineChars="200"/>
        <w:jc w:val="left"/>
        <w:rPr>
          <w:rFonts w:hint="eastAsia" w:ascii="Times New Roman" w:hAnsi="Times New Roman" w:eastAsia="宋体"/>
          <w:b/>
          <w:bCs/>
          <w:szCs w:val="21"/>
          <w:lang w:val="en-US" w:eastAsia="zh-CN"/>
        </w:rPr>
      </w:pPr>
      <w:r>
        <w:rPr>
          <w:rFonts w:hint="eastAsia" w:ascii="Times New Roman" w:hAnsi="Times New Roman" w:eastAsia="宋体"/>
          <w:b/>
          <w:bCs/>
          <w:szCs w:val="21"/>
          <w:lang w:val="en-US" w:eastAsia="zh-CN"/>
        </w:rPr>
        <w:t>分类号：</w:t>
      </w:r>
    </w:p>
    <w:p>
      <w:pPr>
        <w:jc w:val="center"/>
        <w:rPr>
          <w:rFonts w:hint="eastAsia" w:ascii="Times New Roman" w:hAnsi="Times New Roman" w:eastAsia="宋体"/>
          <w:b/>
          <w:bCs/>
          <w:sz w:val="44"/>
          <w:szCs w:val="44"/>
        </w:rPr>
      </w:pPr>
      <w:r>
        <w:rPr>
          <w:rFonts w:hint="eastAsia" w:ascii="Times New Roman" w:hAnsi="Times New Roman" w:eastAsia="宋体"/>
          <w:b/>
          <w:bCs/>
          <w:sz w:val="44"/>
          <w:szCs w:val="44"/>
        </w:rPr>
        <w:t>Research on Social Security Data Governance and Evaluation</w:t>
      </w:r>
    </w:p>
    <w:p>
      <w:pPr>
        <w:spacing w:line="400" w:lineRule="exact"/>
        <w:ind w:firstLine="420" w:firstLineChars="200"/>
        <w:jc w:val="center"/>
        <w:rPr>
          <w:rFonts w:hint="eastAsia" w:ascii="Times New Roman" w:hAnsi="Times New Roman" w:cs="Times New Roman"/>
          <w:lang w:val="en-US" w:eastAsia="zh-CN"/>
        </w:rPr>
      </w:pPr>
      <w:r>
        <w:rPr>
          <w:rFonts w:hint="eastAsia" w:ascii="Times New Roman" w:hAnsi="Times New Roman" w:cs="Times New Roman"/>
          <w:lang w:val="en-US" w:eastAsia="zh-CN"/>
        </w:rPr>
        <w:t>Pan Feng</w:t>
      </w:r>
      <w:r>
        <w:rPr>
          <w:rFonts w:hint="eastAsia" w:ascii="Times New Roman" w:hAnsi="Times New Roman" w:cs="Times New Roman"/>
        </w:rPr>
        <w:t>,</w:t>
      </w:r>
      <w:r>
        <w:rPr>
          <w:rFonts w:ascii="Times New Roman" w:hAnsi="Times New Roman" w:cs="Times New Roman"/>
        </w:rPr>
        <w:t xml:space="preserve"> </w:t>
      </w:r>
      <w:r>
        <w:rPr>
          <w:rFonts w:hint="eastAsia" w:ascii="Times New Roman" w:hAnsi="Times New Roman" w:cs="Times New Roman"/>
          <w:lang w:val="en-US" w:eastAsia="zh-CN"/>
        </w:rPr>
        <w:t>An</w:t>
      </w:r>
      <w:r>
        <w:rPr>
          <w:rFonts w:ascii="Times New Roman" w:hAnsi="Times New Roman" w:cs="Times New Roman"/>
        </w:rPr>
        <w:t xml:space="preserve"> </w:t>
      </w:r>
      <w:r>
        <w:rPr>
          <w:rFonts w:hint="eastAsia" w:ascii="Times New Roman" w:hAnsi="Times New Roman" w:cs="Times New Roman"/>
          <w:lang w:val="en-US" w:eastAsia="zh-CN"/>
        </w:rPr>
        <w:t>Jie</w:t>
      </w:r>
    </w:p>
    <w:p>
      <w:pPr>
        <w:spacing w:line="400" w:lineRule="exact"/>
        <w:ind w:firstLine="420" w:firstLineChars="200"/>
        <w:jc w:val="center"/>
        <w:rPr>
          <w:rFonts w:hint="eastAsia" w:ascii="Times New Roman" w:hAnsi="Times New Roman" w:cs="Times New Roman"/>
          <w:lang w:val="en-US" w:eastAsia="zh-CN"/>
        </w:rPr>
      </w:pPr>
      <w:r>
        <w:rPr>
          <w:rFonts w:ascii="Times New Roman" w:hAnsi="Times New Roman" w:cs="Times New Roman"/>
        </w:rPr>
        <w:t xml:space="preserve"> Institute of Information </w:t>
      </w:r>
      <w:r>
        <w:rPr>
          <w:rFonts w:hint="eastAsia" w:ascii="Times New Roman" w:hAnsi="Times New Roman" w:cs="Times New Roman"/>
        </w:rPr>
        <w:t xml:space="preserve">Management, </w:t>
      </w:r>
      <w:r>
        <w:rPr>
          <w:rFonts w:ascii="Times New Roman" w:hAnsi="Times New Roman" w:cs="Times New Roman"/>
        </w:rPr>
        <w:t>Fuzhou University, Fuzhou 350116, China</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default" w:ascii="Times New Roman" w:hAnsi="Times New Roman" w:eastAsia="宋体"/>
          <w:szCs w:val="21"/>
          <w:lang w:val="en-US" w:eastAsia="zh-CN"/>
        </w:rPr>
      </w:pPr>
      <w:r>
        <w:rPr>
          <w:rFonts w:hint="eastAsia" w:ascii="Times New Roman" w:hAnsi="Times New Roman" w:eastAsia="宋体"/>
          <w:b/>
          <w:bCs/>
          <w:szCs w:val="21"/>
        </w:rPr>
        <w:t>Abs</w:t>
      </w:r>
      <w:r>
        <w:rPr>
          <w:rFonts w:ascii="Times New Roman" w:hAnsi="Times New Roman" w:eastAsia="宋体"/>
          <w:b/>
          <w:bCs/>
          <w:szCs w:val="21"/>
        </w:rPr>
        <w:t>tract:</w:t>
      </w:r>
      <w:r>
        <w:rPr>
          <w:b/>
          <w:bCs/>
        </w:rPr>
        <w:t xml:space="preserve"> </w:t>
      </w:r>
      <w:r>
        <w:rPr>
          <w:rFonts w:hint="default" w:ascii="Times New Roman" w:hAnsi="Times New Roman" w:eastAsia="宋体"/>
          <w:b/>
          <w:bCs/>
          <w:szCs w:val="21"/>
          <w:lang w:val="en-US" w:eastAsia="zh-CN"/>
        </w:rPr>
        <w:t>[Objective]</w:t>
      </w:r>
      <w:r>
        <w:rPr>
          <w:rFonts w:hint="default" w:ascii="Times New Roman" w:hAnsi="Times New Roman" w:eastAsia="宋体"/>
          <w:szCs w:val="21"/>
          <w:lang w:val="en-US" w:eastAsia="zh-CN"/>
        </w:rPr>
        <w:t xml:space="preserve">In order to promote the social security data governance of Fuzhou and improve the ability of government service, </w:t>
      </w:r>
      <w:r>
        <w:rPr>
          <w:rFonts w:hint="default" w:ascii="Times New Roman" w:hAnsi="Times New Roman" w:eastAsia="宋体"/>
          <w:b/>
          <w:bCs/>
          <w:szCs w:val="21"/>
          <w:lang w:val="en-US" w:eastAsia="zh-CN"/>
        </w:rPr>
        <w:t>[Methods]</w:t>
      </w:r>
      <w:r>
        <w:rPr>
          <w:rFonts w:hint="default" w:ascii="Times New Roman" w:hAnsi="Times New Roman" w:eastAsia="宋体"/>
          <w:szCs w:val="21"/>
          <w:lang w:val="en-US" w:eastAsia="zh-CN"/>
        </w:rPr>
        <w:t>This paper analyzes the status quo of social security data governance and combines the SC index evaluation system to score specific indicators.</w:t>
      </w:r>
      <w:r>
        <w:rPr>
          <w:rFonts w:hint="default" w:ascii="Times New Roman" w:hAnsi="Times New Roman" w:eastAsia="宋体"/>
          <w:b/>
          <w:bCs/>
          <w:szCs w:val="21"/>
          <w:lang w:val="en-US" w:eastAsia="zh-CN"/>
        </w:rPr>
        <w:t>[Results]</w:t>
      </w:r>
      <w:r>
        <w:rPr>
          <w:rFonts w:hint="default" w:ascii="Times New Roman" w:hAnsi="Times New Roman" w:eastAsia="宋体"/>
          <w:szCs w:val="21"/>
          <w:lang w:val="en-US" w:eastAsia="zh-CN"/>
        </w:rPr>
        <w:t>Combined with the index score, it is concluded that the social security data governance in Fuzhou has problems such as low data sharing rate, lack of technical personnel and inadequate supervision, which causes the limitations of development to a certain extent.</w:t>
      </w:r>
      <w:r>
        <w:rPr>
          <w:rFonts w:hint="default" w:ascii="Times New Roman" w:hAnsi="Times New Roman" w:eastAsia="宋体"/>
          <w:b/>
          <w:bCs/>
          <w:szCs w:val="21"/>
          <w:lang w:val="en-US" w:eastAsia="zh-CN"/>
        </w:rPr>
        <w:t>[Limitations]</w:t>
      </w:r>
      <w:r>
        <w:rPr>
          <w:rFonts w:hint="default" w:ascii="Times New Roman" w:hAnsi="Times New Roman" w:eastAsia="宋体"/>
          <w:szCs w:val="21"/>
          <w:lang w:val="en-US" w:eastAsia="zh-CN"/>
        </w:rPr>
        <w:t>The data collected through the balanced scorecard index score is limited.</w:t>
      </w:r>
      <w:r>
        <w:rPr>
          <w:rFonts w:hint="default" w:ascii="Times New Roman" w:hAnsi="Times New Roman" w:eastAsia="宋体"/>
          <w:b/>
          <w:bCs/>
          <w:szCs w:val="21"/>
          <w:lang w:val="en-US" w:eastAsia="zh-CN"/>
        </w:rPr>
        <w:t>[Conclusion]</w:t>
      </w:r>
      <w:r>
        <w:rPr>
          <w:rFonts w:hint="default" w:ascii="Times New Roman" w:hAnsi="Times New Roman" w:eastAsia="宋体"/>
          <w:szCs w:val="21"/>
          <w:lang w:val="en-US" w:eastAsia="zh-CN"/>
        </w:rPr>
        <w:t>Finally, specific improvement measures can be proposed from the aspects of building platform data sharing, strengthening training and improving capacity, strengthening prevention and strengthening supervision to promote the high-quality development of social security data governance in Fuzhou.</w:t>
      </w:r>
    </w:p>
    <w:p>
      <w:pPr>
        <w:keepNext w:val="0"/>
        <w:keepLines w:val="0"/>
        <w:pageBreakBefore w:val="0"/>
        <w:widowControl w:val="0"/>
        <w:kinsoku/>
        <w:wordWrap/>
        <w:overflowPunct/>
        <w:topLinePunct w:val="0"/>
        <w:autoSpaceDE/>
        <w:autoSpaceDN/>
        <w:bidi w:val="0"/>
        <w:adjustRightInd/>
        <w:snapToGrid/>
        <w:spacing w:line="240" w:lineRule="auto"/>
        <w:ind w:firstLine="422" w:firstLineChars="200"/>
        <w:textAlignment w:val="auto"/>
        <w:rPr>
          <w:rFonts w:hint="eastAsia" w:ascii="宋体" w:hAnsi="宋体" w:eastAsia="宋体" w:cs="宋体"/>
          <w:sz w:val="24"/>
        </w:rPr>
      </w:pPr>
      <w:r>
        <w:rPr>
          <w:rFonts w:hint="eastAsia" w:ascii="Times New Roman" w:hAnsi="Times New Roman" w:eastAsia="宋体"/>
          <w:b/>
          <w:bCs/>
          <w:szCs w:val="21"/>
        </w:rPr>
        <w:t>Key</w:t>
      </w:r>
      <w:r>
        <w:rPr>
          <w:rFonts w:ascii="Times New Roman" w:hAnsi="Times New Roman" w:eastAsia="宋体"/>
          <w:b/>
          <w:bCs/>
          <w:szCs w:val="21"/>
        </w:rPr>
        <w:t>words:</w:t>
      </w:r>
      <w:r>
        <w:rPr>
          <w:rFonts w:ascii="Times New Roman" w:hAnsi="Times New Roman" w:eastAsia="宋体"/>
          <w:szCs w:val="21"/>
        </w:rPr>
        <w:t xml:space="preserve"> </w:t>
      </w:r>
      <w:r>
        <w:rPr>
          <w:rFonts w:hint="eastAsia" w:ascii="Times New Roman" w:hAnsi="Times New Roman" w:eastAsia="宋体"/>
          <w:szCs w:val="21"/>
        </w:rPr>
        <w:t>Social Security, Data Governance,Balanced Score</w:t>
      </w:r>
      <w:r>
        <w:rPr>
          <w:rFonts w:hint="eastAsia" w:ascii="Times New Roman" w:hAnsi="Times New Roman" w:eastAsia="宋体"/>
          <w:szCs w:val="21"/>
          <w:lang w:val="en-US" w:eastAsia="zh-CN"/>
        </w:rPr>
        <w:t xml:space="preserve"> C</w:t>
      </w:r>
      <w:r>
        <w:rPr>
          <w:rFonts w:hint="eastAsia" w:ascii="Times New Roman" w:hAnsi="Times New Roman" w:eastAsia="宋体"/>
          <w:szCs w:val="21"/>
        </w:rPr>
        <w:t>ard</w:t>
      </w:r>
    </w:p>
    <w:p>
      <w:pPr>
        <w:pStyle w:val="2"/>
        <w:ind w:firstLine="602" w:firstLineChars="200"/>
        <w:rPr>
          <w:rFonts w:hint="eastAsia" w:ascii="Times New Roman" w:hAnsi="Times New Roman" w:eastAsia="宋体" w:cstheme="minorBidi"/>
          <w:b/>
          <w:bCs/>
          <w:kern w:val="2"/>
          <w:sz w:val="30"/>
          <w:szCs w:val="30"/>
          <w:lang w:val="en-US" w:eastAsia="zh-CN" w:bidi="ar-SA"/>
        </w:rPr>
      </w:pPr>
      <w:r>
        <w:rPr>
          <w:rFonts w:hint="eastAsia" w:ascii="Times New Roman" w:hAnsi="Times New Roman" w:eastAsia="宋体" w:cstheme="minorBidi"/>
          <w:b/>
          <w:bCs/>
          <w:kern w:val="2"/>
          <w:sz w:val="30"/>
          <w:szCs w:val="30"/>
          <w:lang w:val="en-US" w:eastAsia="zh-CN" w:bidi="ar-SA"/>
        </w:rPr>
        <w:t>1 研究背景</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随着我国信息化水平的不断发展，信息技术在社会保障领域中广泛应用，成为整个社会保障体系的技术支撑。在信息化建设的基础上，通过数据治理提升数据使用价值，提供更科学的社会保障治理方案。目前，福州市社会保障各机构的单体数据系统已经相对成熟，但数据管理比较混乱，系统之间数据交互率低。数据平台作为推进数据治理的重要载体，建立社会保障统一数据平台有助于打破信息孤岛，加强机构间的数据联动。将单体数据系统迁移至新平台，有利于统筹规划、统一标准、数据共享、加强管理，提供更优质的社会保障服务。推进社会保障数据治理是满足人民群众需求，提升公共服务普惠化、便捷化的迫切要求，也是完善政府治理体系的重要目标。</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重视社会保障数据治理，加强数据管理，促进和规范数据共享开放，提高数据开发利用水平，保障数据共享开放安全，更好地实现社会保障业务的便捷与便民发展。</w:t>
      </w:r>
    </w:p>
    <w:p>
      <w:pPr>
        <w:spacing w:line="400" w:lineRule="exact"/>
        <w:ind w:firstLine="602" w:firstLineChars="200"/>
        <w:rPr>
          <w:rFonts w:hint="eastAsia" w:ascii="Times New Roman" w:hAnsi="Times New Roman" w:eastAsia="宋体"/>
          <w:b/>
          <w:bCs/>
          <w:sz w:val="30"/>
          <w:szCs w:val="30"/>
          <w:lang w:val="en-US" w:eastAsia="zh-CN"/>
        </w:rPr>
      </w:pPr>
      <w:r>
        <w:rPr>
          <w:rFonts w:hint="eastAsia" w:ascii="Times New Roman" w:hAnsi="Times New Roman" w:eastAsia="宋体"/>
          <w:b/>
          <w:bCs/>
          <w:sz w:val="30"/>
          <w:szCs w:val="30"/>
        </w:rPr>
        <w:t>2</w:t>
      </w:r>
      <w:r>
        <w:rPr>
          <w:rFonts w:ascii="Times New Roman" w:hAnsi="Times New Roman" w:eastAsia="宋体"/>
          <w:b/>
          <w:bCs/>
          <w:sz w:val="30"/>
          <w:szCs w:val="30"/>
        </w:rPr>
        <w:t xml:space="preserve"> </w:t>
      </w:r>
      <w:r>
        <w:rPr>
          <w:rFonts w:hint="eastAsia" w:ascii="Times New Roman" w:hAnsi="Times New Roman" w:eastAsia="宋体"/>
          <w:b/>
          <w:bCs/>
          <w:sz w:val="30"/>
          <w:szCs w:val="30"/>
          <w:lang w:val="en-US" w:eastAsia="zh-CN"/>
        </w:rPr>
        <w:t>福州市社会保障数据治理现有问题</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2.1数据共享率与更新频率低</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目前，福州市</w:t>
      </w:r>
      <w:r>
        <w:rPr>
          <w:rFonts w:hint="default" w:ascii="Times New Roman" w:hAnsi="Times New Roman" w:eastAsia="宋体"/>
          <w:szCs w:val="21"/>
          <w:lang w:val="en-US" w:eastAsia="zh-CN"/>
        </w:rPr>
        <w:t>社会保障各部门之间尚未有统一的数据</w:t>
      </w:r>
      <w:r>
        <w:rPr>
          <w:rFonts w:hint="eastAsia" w:ascii="Times New Roman" w:hAnsi="Times New Roman" w:eastAsia="宋体"/>
          <w:szCs w:val="21"/>
          <w:lang w:val="en-US" w:eastAsia="zh-CN"/>
        </w:rPr>
        <w:t>业务</w:t>
      </w:r>
      <w:r>
        <w:rPr>
          <w:rFonts w:hint="default" w:ascii="Times New Roman" w:hAnsi="Times New Roman" w:eastAsia="宋体"/>
          <w:szCs w:val="21"/>
          <w:lang w:val="en-US" w:eastAsia="zh-CN"/>
        </w:rPr>
        <w:t>平台，各业务系统之间</w:t>
      </w:r>
      <w:r>
        <w:rPr>
          <w:rFonts w:hint="eastAsia" w:ascii="Times New Roman" w:hAnsi="Times New Roman" w:eastAsia="宋体"/>
          <w:szCs w:val="21"/>
          <w:lang w:val="en-US" w:eastAsia="zh-CN"/>
        </w:rPr>
        <w:t>只有部分</w:t>
      </w:r>
      <w:r>
        <w:rPr>
          <w:rFonts w:hint="default" w:ascii="Times New Roman" w:hAnsi="Times New Roman" w:eastAsia="宋体"/>
          <w:szCs w:val="21"/>
          <w:lang w:val="en-US" w:eastAsia="zh-CN"/>
        </w:rPr>
        <w:t>数据</w:t>
      </w:r>
      <w:r>
        <w:rPr>
          <w:rFonts w:hint="eastAsia" w:ascii="Times New Roman" w:hAnsi="Times New Roman" w:eastAsia="宋体"/>
          <w:szCs w:val="21"/>
          <w:lang w:val="en-US" w:eastAsia="zh-CN"/>
        </w:rPr>
        <w:t>为无条件</w:t>
      </w:r>
      <w:r>
        <w:rPr>
          <w:rFonts w:hint="default" w:ascii="Times New Roman" w:hAnsi="Times New Roman" w:eastAsia="宋体"/>
          <w:szCs w:val="21"/>
          <w:lang w:val="en-US" w:eastAsia="zh-CN"/>
        </w:rPr>
        <w:t>共享</w:t>
      </w:r>
      <w:r>
        <w:rPr>
          <w:rFonts w:hint="eastAsia" w:ascii="Times New Roman" w:hAnsi="Times New Roman" w:eastAsia="宋体"/>
          <w:szCs w:val="21"/>
          <w:lang w:val="en-US" w:eastAsia="zh-CN"/>
        </w:rPr>
        <w:t>形态，数据共享率和交互率</w:t>
      </w:r>
      <w:r>
        <w:rPr>
          <w:rFonts w:hint="default" w:ascii="Times New Roman" w:hAnsi="Times New Roman" w:eastAsia="宋体"/>
          <w:szCs w:val="21"/>
          <w:lang w:val="en-US" w:eastAsia="zh-CN"/>
        </w:rPr>
        <w:t>低，</w:t>
      </w:r>
      <w:r>
        <w:rPr>
          <w:rFonts w:hint="eastAsia" w:ascii="Times New Roman" w:hAnsi="Times New Roman" w:eastAsia="宋体"/>
          <w:szCs w:val="21"/>
          <w:lang w:val="en-US" w:eastAsia="zh-CN"/>
        </w:rPr>
        <w:t>多项</w:t>
      </w:r>
      <w:r>
        <w:rPr>
          <w:rFonts w:hint="default" w:ascii="Times New Roman" w:hAnsi="Times New Roman" w:eastAsia="宋体"/>
          <w:szCs w:val="21"/>
          <w:lang w:val="en-US" w:eastAsia="zh-CN"/>
        </w:rPr>
        <w:t>跨部门业务不能直接联网办理。</w:t>
      </w:r>
    </w:p>
    <w:p>
      <w:pPr>
        <w:ind w:firstLine="420" w:firstLineChars="200"/>
        <w:rPr>
          <w:rFonts w:hint="default" w:ascii="Times New Roman" w:hAnsi="Times New Roman" w:eastAsia="宋体"/>
          <w:szCs w:val="21"/>
          <w:lang w:val="en-US" w:eastAsia="zh-CN"/>
        </w:rPr>
      </w:pPr>
      <w:r>
        <w:rPr>
          <w:rFonts w:hint="default" w:ascii="Times New Roman" w:hAnsi="Times New Roman" w:eastAsia="宋体"/>
          <w:szCs w:val="21"/>
          <w:lang w:val="en-US" w:eastAsia="zh-CN"/>
        </w:rPr>
        <w:t>举例：吴某，为</w:t>
      </w:r>
      <w:r>
        <w:rPr>
          <w:rFonts w:hint="eastAsia" w:ascii="Times New Roman" w:hAnsi="Times New Roman" w:eastAsia="宋体"/>
          <w:szCs w:val="21"/>
          <w:lang w:val="en-US" w:eastAsia="zh-CN"/>
        </w:rPr>
        <w:t>企业新招聘</w:t>
      </w:r>
      <w:r>
        <w:rPr>
          <w:rFonts w:hint="default" w:ascii="Times New Roman" w:hAnsi="Times New Roman" w:eastAsia="宋体"/>
          <w:szCs w:val="21"/>
          <w:lang w:val="en-US" w:eastAsia="zh-CN"/>
        </w:rPr>
        <w:t>工作人员，办理</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五险一金</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参保手续时，需要分别到</w:t>
      </w:r>
      <w:r>
        <w:rPr>
          <w:rFonts w:hint="eastAsia" w:ascii="Times New Roman" w:hAnsi="Times New Roman" w:eastAsia="宋体"/>
          <w:szCs w:val="21"/>
          <w:lang w:val="en-US" w:eastAsia="zh-CN"/>
        </w:rPr>
        <w:t>社保中心</w:t>
      </w:r>
      <w:r>
        <w:rPr>
          <w:rFonts w:hint="default" w:ascii="Times New Roman" w:hAnsi="Times New Roman" w:eastAsia="宋体"/>
          <w:szCs w:val="21"/>
          <w:lang w:val="en-US" w:eastAsia="zh-CN"/>
        </w:rPr>
        <w:t>办理工伤保险</w:t>
      </w:r>
      <w:r>
        <w:rPr>
          <w:rFonts w:hint="eastAsia" w:ascii="Times New Roman" w:hAnsi="Times New Roman" w:eastAsia="宋体"/>
          <w:szCs w:val="21"/>
          <w:lang w:val="en-US" w:eastAsia="zh-CN"/>
        </w:rPr>
        <w:t>和养老保险参保手续</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医保</w:t>
      </w:r>
      <w:r>
        <w:rPr>
          <w:rFonts w:hint="default" w:ascii="Times New Roman" w:hAnsi="Times New Roman" w:eastAsia="宋体"/>
          <w:szCs w:val="21"/>
          <w:lang w:val="en-US" w:eastAsia="zh-CN"/>
        </w:rPr>
        <w:t>中心</w:t>
      </w:r>
      <w:r>
        <w:rPr>
          <w:rFonts w:hint="eastAsia" w:ascii="Times New Roman" w:hAnsi="Times New Roman" w:eastAsia="宋体"/>
          <w:szCs w:val="21"/>
          <w:lang w:val="en-US" w:eastAsia="zh-CN"/>
        </w:rPr>
        <w:t>办理</w:t>
      </w:r>
      <w:r>
        <w:rPr>
          <w:rFonts w:hint="default" w:ascii="Times New Roman" w:hAnsi="Times New Roman" w:eastAsia="宋体"/>
          <w:szCs w:val="21"/>
          <w:lang w:val="en-US" w:eastAsia="zh-CN"/>
        </w:rPr>
        <w:t>医疗保险和生育保险参保手续、公积金中心</w:t>
      </w:r>
      <w:r>
        <w:rPr>
          <w:rFonts w:hint="eastAsia" w:ascii="Times New Roman" w:hAnsi="Times New Roman" w:eastAsia="宋体"/>
          <w:szCs w:val="21"/>
          <w:lang w:val="en-US" w:eastAsia="zh-CN"/>
        </w:rPr>
        <w:t>办理</w:t>
      </w:r>
      <w:r>
        <w:rPr>
          <w:rFonts w:hint="default" w:ascii="Times New Roman" w:hAnsi="Times New Roman" w:eastAsia="宋体"/>
          <w:szCs w:val="21"/>
          <w:lang w:val="en-US" w:eastAsia="zh-CN"/>
        </w:rPr>
        <w:t>公积金账户开户手续。</w:t>
      </w:r>
      <w:r>
        <w:rPr>
          <w:rFonts w:hint="eastAsia" w:ascii="Times New Roman" w:hAnsi="Times New Roman" w:eastAsia="宋体"/>
          <w:szCs w:val="21"/>
          <w:lang w:val="en-US" w:eastAsia="zh-CN"/>
        </w:rPr>
        <w:t>“人员新参保”这项基础业务，还未实现数据共享，做到“一窗办结”</w:t>
      </w:r>
      <w:r>
        <w:rPr>
          <w:rFonts w:hint="default" w:ascii="Times New Roman" w:hAnsi="Times New Roman" w:eastAsia="宋体"/>
          <w:szCs w:val="21"/>
          <w:lang w:val="en-US" w:eastAsia="zh-CN"/>
        </w:rPr>
        <w:t>。</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此外，社会保障各经办机构的业务数据并不是每天及时上传至数据库，而是约每隔半个月上传一次，数据更新频率低不仅影响日常业务工作效率，也造成办事群众的不便。</w:t>
      </w:r>
    </w:p>
    <w:p>
      <w:pPr>
        <w:ind w:firstLine="420" w:firstLineChars="200"/>
        <w:rPr>
          <w:rFonts w:hint="default" w:ascii="Times New Roman" w:hAnsi="Times New Roman" w:eastAsia="宋体"/>
          <w:szCs w:val="21"/>
          <w:lang w:val="en-US" w:eastAsia="zh-CN"/>
        </w:rPr>
      </w:pPr>
      <w:r>
        <w:rPr>
          <w:rFonts w:hint="default" w:ascii="Times New Roman" w:hAnsi="Times New Roman" w:eastAsia="宋体"/>
          <w:szCs w:val="21"/>
          <w:lang w:val="en-US" w:eastAsia="zh-CN"/>
        </w:rPr>
        <w:t>举例：赵某</w:t>
      </w:r>
      <w:r>
        <w:rPr>
          <w:rFonts w:hint="eastAsia" w:ascii="Times New Roman" w:hAnsi="Times New Roman" w:eastAsia="宋体"/>
          <w:szCs w:val="21"/>
          <w:lang w:val="en-US" w:eastAsia="zh-CN"/>
        </w:rPr>
        <w:t>从</w:t>
      </w:r>
      <w:r>
        <w:rPr>
          <w:rFonts w:hint="default" w:ascii="Times New Roman" w:hAnsi="Times New Roman" w:eastAsia="宋体"/>
          <w:szCs w:val="21"/>
          <w:lang w:val="en-US" w:eastAsia="zh-CN"/>
        </w:rPr>
        <w:t>福州市企业离职后，入职福州市事业单位，参加福州市机关养老保险。若该人员在企业</w:t>
      </w:r>
      <w:r>
        <w:rPr>
          <w:rFonts w:hint="eastAsia" w:ascii="Times New Roman" w:hAnsi="Times New Roman" w:eastAsia="宋体"/>
          <w:szCs w:val="21"/>
          <w:lang w:val="en-US" w:eastAsia="zh-CN"/>
        </w:rPr>
        <w:t>保险</w:t>
      </w:r>
      <w:r>
        <w:rPr>
          <w:rFonts w:hint="default" w:ascii="Times New Roman" w:hAnsi="Times New Roman" w:eastAsia="宋体"/>
          <w:szCs w:val="21"/>
          <w:lang w:val="en-US" w:eastAsia="zh-CN"/>
        </w:rPr>
        <w:t>办理完减员手续</w:t>
      </w:r>
      <w:r>
        <w:rPr>
          <w:rFonts w:hint="eastAsia" w:ascii="Times New Roman" w:hAnsi="Times New Roman" w:eastAsia="宋体"/>
          <w:szCs w:val="21"/>
          <w:lang w:val="en-US" w:eastAsia="zh-CN"/>
        </w:rPr>
        <w:t>后</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隔天到</w:t>
      </w:r>
      <w:r>
        <w:rPr>
          <w:rFonts w:hint="default" w:ascii="Times New Roman" w:hAnsi="Times New Roman" w:eastAsia="宋体"/>
          <w:szCs w:val="21"/>
          <w:lang w:val="en-US" w:eastAsia="zh-CN"/>
        </w:rPr>
        <w:t>机关</w:t>
      </w:r>
      <w:r>
        <w:rPr>
          <w:rFonts w:hint="eastAsia" w:ascii="Times New Roman" w:hAnsi="Times New Roman" w:eastAsia="宋体"/>
          <w:szCs w:val="21"/>
          <w:lang w:val="en-US" w:eastAsia="zh-CN"/>
        </w:rPr>
        <w:t>保险办理人员</w:t>
      </w:r>
      <w:r>
        <w:rPr>
          <w:rFonts w:hint="default" w:ascii="Times New Roman" w:hAnsi="Times New Roman" w:eastAsia="宋体"/>
          <w:szCs w:val="21"/>
          <w:lang w:val="en-US" w:eastAsia="zh-CN"/>
        </w:rPr>
        <w:t>参保</w:t>
      </w:r>
      <w:r>
        <w:rPr>
          <w:rFonts w:hint="eastAsia" w:ascii="Times New Roman" w:hAnsi="Times New Roman" w:eastAsia="宋体"/>
          <w:szCs w:val="21"/>
          <w:lang w:val="en-US" w:eastAsia="zh-CN"/>
        </w:rPr>
        <w:t>，则</w:t>
      </w:r>
      <w:r>
        <w:rPr>
          <w:rFonts w:hint="default" w:ascii="Times New Roman" w:hAnsi="Times New Roman" w:eastAsia="宋体"/>
          <w:szCs w:val="21"/>
          <w:lang w:val="en-US" w:eastAsia="zh-CN"/>
        </w:rPr>
        <w:t>系统会</w:t>
      </w:r>
      <w:r>
        <w:rPr>
          <w:rFonts w:hint="eastAsia" w:ascii="Times New Roman" w:hAnsi="Times New Roman" w:eastAsia="宋体"/>
          <w:szCs w:val="21"/>
          <w:lang w:val="en-US" w:eastAsia="zh-CN"/>
        </w:rPr>
        <w:t>提示该人员正参与企业保险</w:t>
      </w:r>
      <w:r>
        <w:rPr>
          <w:rFonts w:hint="default" w:ascii="Times New Roman" w:hAnsi="Times New Roman" w:eastAsia="宋体"/>
          <w:szCs w:val="21"/>
          <w:lang w:val="en-US" w:eastAsia="zh-CN"/>
        </w:rPr>
        <w:t>，无法办理</w:t>
      </w:r>
      <w:r>
        <w:rPr>
          <w:rFonts w:hint="eastAsia" w:ascii="Times New Roman" w:hAnsi="Times New Roman" w:eastAsia="宋体"/>
          <w:szCs w:val="21"/>
          <w:lang w:val="en-US" w:eastAsia="zh-CN"/>
        </w:rPr>
        <w:t>其他</w:t>
      </w:r>
      <w:r>
        <w:rPr>
          <w:rFonts w:hint="default" w:ascii="Times New Roman" w:hAnsi="Times New Roman" w:eastAsia="宋体"/>
          <w:szCs w:val="21"/>
          <w:lang w:val="en-US" w:eastAsia="zh-CN"/>
        </w:rPr>
        <w:t>参保手续。</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2.2政策宣传渠道少，宣传力度不足</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现有的福州市社会保障政策宣传主要通过人社部门门户网站、本地主流报纸和机构内的政策宣传栏，宣传覆盖范围较小，内容比较单一缺乏政策解释，受众群体也相对固定。</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举例：2021年养老保险待遇调整方案中规定，挂钩调整部分为退休人员按本人2020年12月发放基本养老金标准的2.18%调整增加。这部分在文件中缺乏对应解释，许多退休人员自己计算结果与实际发放结果不一致，只能到社保机构现场咨询。</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冯某，机关单位退休人员。2020年12月养老金为4496元，缴费年限40年整，他按定额部分50元，挂钩4496部分*2.18%元，计算，调整工资为：</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50+4496*2.18%+40=188元与实际调整的183元有出入。</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经工作人员解释，政策中规定的调整部分包括基本养老金和生活补贴两个部分。冯某工资组成为基本养老金1282元、生活补贴3000元和提租补贴214元组成，其中提租补贴为基本养老金和生活补贴之和的5%，不属于基本养老金范畴，并不纳入增资范围，则冯某实际调整工资应为：</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50+（1282+3000）*2.18%+40元=183元，与实际发放结果一致。</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2.3技术人员人手不足，缺乏相关培训</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福州市社会保障各经办机构均设有信息科，配备2-3名工作人员，负责机构内电脑硬件设施和信息网络的维护，以及业务数据的日常统计工作。经办日常工作中碰到业务系统故障、业务数据出错等问题，都需要咨询软件公司运维工作人员，常常不能即时解决。此外，社会保障的工作人员没有信息化管理、数据治理相关培训，没有有效途径补充自身数据治理知识，提升数据管理能力。</w:t>
      </w:r>
    </w:p>
    <w:p>
      <w:pPr>
        <w:ind w:firstLine="420" w:firstLineChars="200"/>
        <w:rPr>
          <w:rFonts w:hint="default" w:ascii="Times New Roman" w:hAnsi="Times New Roman" w:eastAsia="宋体"/>
          <w:szCs w:val="21"/>
          <w:lang w:val="en-US" w:eastAsia="zh-CN"/>
        </w:rPr>
      </w:pPr>
    </w:p>
    <w:p>
      <w:pPr>
        <w:ind w:firstLine="562" w:firstLineChars="200"/>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2.4数据治理缺乏严格监管制度</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近几年，福州市社会保障养老待遇发放部门每月会进行数据核查工作，通过与民政部门数据进行比对，核查是否存在多领冒领的情况。但由于社保监管工作起步较晚，存在着不少历史遗留问题，资金追回困难，社保基金流失。</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举例：王某，福州市机关保中心退休人员，2017年4月去世，家属并未及时向王某退休前所在单位申报死亡，养老待遇每月持续发放。直到次年，必须由王某本人进行养老保险待遇领取资格认证时，家属才向单位反映王某已去世，但拒绝返还多领的养老待遇。这种家属隐瞒死亡事实，骗保冒领养老待遇的情况层出不穷。</w:t>
      </w:r>
    </w:p>
    <w:p>
      <w:pPr>
        <w:ind w:firstLine="562" w:firstLineChars="200"/>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2.5养老保险待遇领取资格认证多为线下集中认证</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按照《社会保险法》和《社会保险稽核办法》有关规定，离退休人员必须每年进行一次养老保险待遇领取资格认证。福州市社会保障部门每年不断地增加新的认证渠道，但由于参与认证的为老年群体，许多没有智能手机、对APP操作不熟的退休人员依然只能选择线下集中认证。工作原因，只展示福州市机关保中心2018年--2021年认证数据，如图1所示。</w:t>
      </w:r>
    </w:p>
    <w:p>
      <w:pPr>
        <w:ind w:firstLine="420" w:firstLineChars="200"/>
        <w:jc w:val="center"/>
        <w:rPr>
          <w:rFonts w:hint="eastAsia" w:ascii="Times New Roman" w:hAnsi="Times New Roman" w:eastAsia="宋体"/>
          <w:szCs w:val="21"/>
          <w:lang w:val="en-US" w:eastAsia="zh-CN"/>
        </w:rPr>
      </w:pPr>
      <w:r>
        <w:drawing>
          <wp:inline distT="0" distB="0" distL="114300" distR="114300">
            <wp:extent cx="5187315" cy="3061970"/>
            <wp:effectExtent l="0" t="0" r="381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5"/>
                    <a:stretch>
                      <a:fillRect/>
                    </a:stretch>
                  </pic:blipFill>
                  <pic:spPr>
                    <a:xfrm>
                      <a:off x="0" y="0"/>
                      <a:ext cx="5187315" cy="3061970"/>
                    </a:xfrm>
                    <a:prstGeom prst="rect">
                      <a:avLst/>
                    </a:prstGeom>
                    <a:noFill/>
                    <a:ln>
                      <a:noFill/>
                    </a:ln>
                  </pic:spPr>
                </pic:pic>
              </a:graphicData>
            </a:graphic>
          </wp:inline>
        </w:drawing>
      </w:r>
    </w:p>
    <w:p>
      <w:pPr>
        <w:ind w:firstLine="420" w:firstLineChars="200"/>
        <w:jc w:val="center"/>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图1 福州市机关保中心养老保险待遇领取资格认证统计</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由上图可以看出，从2020年起，社会保障部门新推出了APP认证方式，但单位线下集中认证占比依然超过半数，2020年为67%，2021年为54%。</w:t>
      </w:r>
    </w:p>
    <w:p>
      <w:pPr>
        <w:ind w:firstLine="602" w:firstLineChars="200"/>
        <w:rPr>
          <w:rFonts w:hint="eastAsia" w:ascii="Times New Roman" w:hAnsi="Times New Roman" w:eastAsia="宋体"/>
          <w:b/>
          <w:bCs/>
          <w:sz w:val="30"/>
          <w:szCs w:val="30"/>
          <w:lang w:eastAsia="zh-CN"/>
        </w:rPr>
      </w:pPr>
      <w:r>
        <w:rPr>
          <w:rFonts w:hint="eastAsia" w:ascii="Times New Roman" w:hAnsi="Times New Roman" w:eastAsia="宋体"/>
          <w:b/>
          <w:bCs/>
          <w:sz w:val="30"/>
          <w:szCs w:val="30"/>
          <w:lang w:val="en-US" w:eastAsia="zh-CN"/>
        </w:rPr>
        <w:t>3</w:t>
      </w:r>
      <w:r>
        <w:rPr>
          <w:rFonts w:hint="eastAsia" w:ascii="Times New Roman" w:hAnsi="Times New Roman" w:eastAsia="宋体"/>
          <w:b/>
          <w:bCs/>
          <w:sz w:val="30"/>
          <w:szCs w:val="30"/>
        </w:rPr>
        <w:t xml:space="preserve"> </w:t>
      </w:r>
      <w:r>
        <w:rPr>
          <w:rFonts w:hint="eastAsia" w:ascii="Times New Roman" w:hAnsi="Times New Roman" w:eastAsia="宋体"/>
          <w:b/>
          <w:bCs/>
          <w:sz w:val="30"/>
          <w:szCs w:val="30"/>
          <w:lang w:val="en-US" w:eastAsia="zh-CN"/>
        </w:rPr>
        <w:t>平衡计分卡在福州市社会保障的应用</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3.1基于平衡计分卡的评估指标设计</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针对上述福州市社会保障数据治理存在问题，</w:t>
      </w:r>
      <w:r>
        <w:rPr>
          <w:rFonts w:hint="default" w:ascii="Times New Roman" w:hAnsi="Times New Roman" w:eastAsia="宋体"/>
          <w:szCs w:val="21"/>
          <w:lang w:val="en-US" w:eastAsia="zh-CN"/>
        </w:rPr>
        <w:t>利用平衡计分卡对其进行评估，</w:t>
      </w:r>
      <w:r>
        <w:rPr>
          <w:rFonts w:hint="eastAsia" w:ascii="Times New Roman" w:hAnsi="Times New Roman" w:eastAsia="宋体"/>
          <w:szCs w:val="21"/>
          <w:lang w:val="en-US" w:eastAsia="zh-CN"/>
        </w:rPr>
        <w:t>将问题细化到具体指标上，结合指标得分，针对性地</w:t>
      </w:r>
      <w:r>
        <w:rPr>
          <w:rFonts w:hint="default" w:ascii="Times New Roman" w:hAnsi="Times New Roman" w:eastAsia="宋体"/>
          <w:szCs w:val="21"/>
          <w:lang w:val="en-US" w:eastAsia="zh-CN"/>
        </w:rPr>
        <w:t>提出有效的改进策略。</w:t>
      </w:r>
      <w:r>
        <w:rPr>
          <w:rFonts w:hint="eastAsia" w:ascii="Times New Roman" w:hAnsi="Times New Roman" w:eastAsia="宋体"/>
          <w:szCs w:val="21"/>
          <w:lang w:val="en-US" w:eastAsia="zh-CN"/>
        </w:rPr>
        <w:t>本文主要利用平衡计分卡的</w:t>
      </w:r>
      <w:r>
        <w:rPr>
          <w:rFonts w:hint="default" w:ascii="Times New Roman" w:hAnsi="Times New Roman" w:eastAsia="宋体"/>
          <w:szCs w:val="21"/>
          <w:lang w:val="en-US" w:eastAsia="zh-CN"/>
        </w:rPr>
        <w:t>内部</w:t>
      </w:r>
      <w:r>
        <w:rPr>
          <w:rFonts w:hint="eastAsia" w:ascii="Times New Roman" w:hAnsi="Times New Roman" w:eastAsia="宋体"/>
          <w:szCs w:val="21"/>
          <w:lang w:val="en-US" w:eastAsia="zh-CN"/>
        </w:rPr>
        <w:t>管理与</w:t>
      </w:r>
      <w:r>
        <w:rPr>
          <w:rFonts w:hint="default" w:ascii="Times New Roman" w:hAnsi="Times New Roman" w:eastAsia="宋体"/>
          <w:szCs w:val="21"/>
          <w:lang w:val="en-US" w:eastAsia="zh-CN"/>
        </w:rPr>
        <w:t>学习</w:t>
      </w:r>
      <w:r>
        <w:rPr>
          <w:rFonts w:hint="eastAsia" w:ascii="Times New Roman" w:hAnsi="Times New Roman" w:eastAsia="宋体"/>
          <w:szCs w:val="21"/>
          <w:lang w:val="en-US" w:eastAsia="zh-CN"/>
        </w:rPr>
        <w:t>成长两个</w:t>
      </w:r>
      <w:r>
        <w:rPr>
          <w:rFonts w:hint="default" w:ascii="Times New Roman" w:hAnsi="Times New Roman" w:eastAsia="宋体"/>
          <w:szCs w:val="21"/>
          <w:lang w:val="en-US" w:eastAsia="zh-CN"/>
        </w:rPr>
        <w:t>维度</w:t>
      </w:r>
      <w:r>
        <w:rPr>
          <w:rFonts w:hint="eastAsia" w:ascii="Times New Roman" w:hAnsi="Times New Roman" w:eastAsia="宋体"/>
          <w:szCs w:val="21"/>
          <w:lang w:val="en-US" w:eastAsia="zh-CN"/>
        </w:rPr>
        <w:t>进行评估指标设计。将与上述问题相关指标作为考核指标，并赋予每个指标相应的权重，如表1所示。</w:t>
      </w:r>
    </w:p>
    <w:p>
      <w:pPr>
        <w:ind w:firstLine="420" w:firstLineChars="200"/>
        <w:jc w:val="both"/>
        <w:rPr>
          <w:rFonts w:hint="eastAsia" w:ascii="Times New Roman" w:hAnsi="Times New Roman" w:eastAsia="宋体"/>
          <w:szCs w:val="21"/>
          <w:lang w:val="en-US" w:eastAsia="zh-CN"/>
        </w:rPr>
      </w:pPr>
    </w:p>
    <w:p>
      <w:pPr>
        <w:ind w:firstLine="420" w:firstLineChars="200"/>
        <w:jc w:val="both"/>
        <w:rPr>
          <w:rFonts w:hint="default" w:ascii="Times New Roman" w:hAnsi="Times New Roman" w:eastAsia="宋体"/>
          <w:szCs w:val="21"/>
          <w:lang w:val="en-US" w:eastAsia="zh-CN"/>
        </w:rPr>
      </w:pPr>
    </w:p>
    <w:p>
      <w:pPr>
        <w:ind w:firstLine="420" w:firstLineChars="200"/>
        <w:jc w:val="center"/>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表1 社会保障数据治理的平衡计分卡指标体系</w:t>
      </w:r>
    </w:p>
    <w:tbl>
      <w:tblPr>
        <w:tblStyle w:val="6"/>
        <w:tblW w:w="8522"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30"/>
        <w:gridCol w:w="1423"/>
        <w:gridCol w:w="2838"/>
        <w:gridCol w:w="2131"/>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维度（一级指标）</w:t>
            </w:r>
          </w:p>
        </w:tc>
        <w:tc>
          <w:tcPr>
            <w:tcW w:w="1423"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权重</w:t>
            </w:r>
          </w:p>
        </w:tc>
        <w:tc>
          <w:tcPr>
            <w:tcW w:w="2838"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二级指标</w:t>
            </w:r>
          </w:p>
        </w:tc>
        <w:tc>
          <w:tcPr>
            <w:tcW w:w="2131"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权重</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restart"/>
            <w:tcBorders>
              <w:top w:val="single" w:color="auto" w:sz="12" w:space="0"/>
            </w:tcBorders>
            <w:vAlign w:val="center"/>
          </w:tcPr>
          <w:p>
            <w:pPr>
              <w:ind w:firstLine="420" w:firstLineChars="200"/>
              <w:jc w:val="both"/>
              <w:rPr>
                <w:rFonts w:hint="default" w:ascii="Times New Roman" w:hAnsi="Times New Roman" w:eastAsia="宋体"/>
                <w:szCs w:val="21"/>
                <w:lang w:val="en-US" w:eastAsia="zh-CN"/>
              </w:rPr>
            </w:pPr>
            <w:r>
              <w:rPr>
                <w:rFonts w:hint="default" w:ascii="Times New Roman" w:hAnsi="Times New Roman" w:eastAsia="宋体"/>
                <w:szCs w:val="21"/>
                <w:lang w:val="en-US" w:eastAsia="zh-CN"/>
              </w:rPr>
              <w:t>内部</w:t>
            </w:r>
            <w:r>
              <w:rPr>
                <w:rFonts w:hint="eastAsia" w:ascii="Times New Roman" w:hAnsi="Times New Roman" w:eastAsia="宋体"/>
                <w:szCs w:val="21"/>
                <w:lang w:val="en-US" w:eastAsia="zh-CN"/>
              </w:rPr>
              <w:t>管理</w:t>
            </w:r>
          </w:p>
        </w:tc>
        <w:tc>
          <w:tcPr>
            <w:tcW w:w="1423" w:type="dxa"/>
            <w:vMerge w:val="restart"/>
            <w:tcBorders>
              <w:top w:val="single" w:color="auto" w:sz="12" w:space="0"/>
            </w:tcBorders>
            <w:vAlign w:val="center"/>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70%</w:t>
            </w:r>
          </w:p>
        </w:tc>
        <w:tc>
          <w:tcPr>
            <w:tcW w:w="2838" w:type="dxa"/>
            <w:tcBorders>
              <w:top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统一数据平台搭建情况</w:t>
            </w:r>
          </w:p>
        </w:tc>
        <w:tc>
          <w:tcPr>
            <w:tcW w:w="2131" w:type="dxa"/>
            <w:tcBorders>
              <w:top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20%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38"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数据共享情况</w:t>
            </w:r>
          </w:p>
        </w:tc>
        <w:tc>
          <w:tcPr>
            <w:tcW w:w="2131"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38"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数据更新频率</w:t>
            </w:r>
          </w:p>
        </w:tc>
        <w:tc>
          <w:tcPr>
            <w:tcW w:w="2131"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15%</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38"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数据监管</w:t>
            </w:r>
          </w:p>
        </w:tc>
        <w:tc>
          <w:tcPr>
            <w:tcW w:w="2131" w:type="dxa"/>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38"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社保基金风险防控情况</w:t>
            </w:r>
          </w:p>
        </w:tc>
        <w:tc>
          <w:tcPr>
            <w:tcW w:w="2131" w:type="dxa"/>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tcBorders>
              <w:bottom w:val="single" w:color="auto" w:sz="8" w:space="0"/>
            </w:tcBorders>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tcBorders>
              <w:bottom w:val="single" w:color="auto" w:sz="8" w:space="0"/>
            </w:tcBorders>
            <w:vAlign w:val="center"/>
          </w:tcPr>
          <w:p>
            <w:pPr>
              <w:ind w:firstLine="420" w:firstLineChars="200"/>
              <w:jc w:val="both"/>
              <w:rPr>
                <w:rFonts w:hint="eastAsia" w:ascii="Times New Roman" w:hAnsi="Times New Roman" w:eastAsia="宋体"/>
                <w:szCs w:val="21"/>
                <w:lang w:val="en-US" w:eastAsia="zh-CN"/>
              </w:rPr>
            </w:pPr>
          </w:p>
        </w:tc>
        <w:tc>
          <w:tcPr>
            <w:tcW w:w="2838" w:type="dxa"/>
            <w:tcBorders>
              <w:bottom w:val="single" w:color="auto" w:sz="8"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线上认证情况</w:t>
            </w:r>
          </w:p>
        </w:tc>
        <w:tc>
          <w:tcPr>
            <w:tcW w:w="2131" w:type="dxa"/>
            <w:tcBorders>
              <w:bottom w:val="single" w:color="auto" w:sz="8"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restart"/>
            <w:tcBorders>
              <w:top w:val="single" w:color="auto" w:sz="8" w:space="0"/>
              <w:tl2br w:val="nil"/>
              <w:tr2bl w:val="nil"/>
            </w:tcBorders>
            <w:vAlign w:val="center"/>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学习成长</w:t>
            </w:r>
          </w:p>
        </w:tc>
        <w:tc>
          <w:tcPr>
            <w:tcW w:w="1423" w:type="dxa"/>
            <w:vMerge w:val="restart"/>
            <w:tcBorders>
              <w:top w:val="single" w:color="auto" w:sz="8" w:space="0"/>
              <w:tl2br w:val="nil"/>
              <w:tr2bl w:val="nil"/>
            </w:tcBorders>
            <w:vAlign w:val="center"/>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c>
          <w:tcPr>
            <w:tcW w:w="2838" w:type="dxa"/>
            <w:tcBorders>
              <w:top w:val="single" w:color="auto" w:sz="8" w:space="0"/>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工作人员培训次数</w:t>
            </w:r>
          </w:p>
        </w:tc>
        <w:tc>
          <w:tcPr>
            <w:tcW w:w="2131" w:type="dxa"/>
            <w:tcBorders>
              <w:top w:val="single" w:color="auto" w:sz="8" w:space="0"/>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838"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信息科室人员配备</w:t>
            </w:r>
          </w:p>
        </w:tc>
        <w:tc>
          <w:tcPr>
            <w:tcW w:w="2131"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838"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政策宣传</w:t>
            </w:r>
          </w:p>
        </w:tc>
        <w:tc>
          <w:tcPr>
            <w:tcW w:w="2131"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30"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1423"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838"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群众满意度</w:t>
            </w:r>
          </w:p>
        </w:tc>
        <w:tc>
          <w:tcPr>
            <w:tcW w:w="2131"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r>
    </w:tbl>
    <w:p>
      <w:pPr>
        <w:ind w:firstLine="420" w:firstLineChars="200"/>
        <w:jc w:val="both"/>
        <w:rPr>
          <w:rFonts w:hint="default" w:ascii="Times New Roman" w:hAnsi="Times New Roman" w:eastAsia="宋体"/>
          <w:szCs w:val="21"/>
          <w:lang w:val="en-US" w:eastAsia="zh-CN"/>
        </w:rPr>
      </w:pPr>
      <w:r>
        <w:rPr>
          <w:rFonts w:hint="default" w:ascii="Times New Roman" w:hAnsi="Times New Roman" w:eastAsia="宋体"/>
          <w:szCs w:val="21"/>
          <w:lang w:val="en-US" w:eastAsia="zh-CN"/>
        </w:rPr>
        <w:tab/>
      </w:r>
    </w:p>
    <w:p>
      <w:pPr>
        <w:ind w:firstLine="420" w:firstLineChars="200"/>
        <w:jc w:val="both"/>
        <w:rPr>
          <w:rFonts w:hint="eastAsia" w:ascii="Times New Roman" w:hAnsi="Times New Roman" w:eastAsia="宋体"/>
          <w:szCs w:val="21"/>
          <w:lang w:val="en-US" w:eastAsia="zh-CN"/>
        </w:rPr>
      </w:pPr>
      <w:r>
        <w:rPr>
          <w:rFonts w:hint="default" w:ascii="Times New Roman" w:hAnsi="Times New Roman" w:eastAsia="宋体"/>
          <w:szCs w:val="21"/>
          <w:lang w:val="en-US" w:eastAsia="zh-CN"/>
        </w:rPr>
        <w:t>在运用平衡计分卡进行评估过程中，</w:t>
      </w:r>
      <w:r>
        <w:rPr>
          <w:rFonts w:hint="eastAsia" w:ascii="Times New Roman" w:hAnsi="Times New Roman" w:eastAsia="宋体"/>
          <w:szCs w:val="21"/>
          <w:lang w:val="en-US" w:eastAsia="zh-CN"/>
        </w:rPr>
        <w:t>参照评估对象</w:t>
      </w:r>
      <w:r>
        <w:rPr>
          <w:rFonts w:hint="default" w:ascii="Times New Roman" w:hAnsi="Times New Roman" w:eastAsia="宋体"/>
          <w:szCs w:val="21"/>
          <w:lang w:val="en-US" w:eastAsia="zh-CN"/>
        </w:rPr>
        <w:t>的现状、</w:t>
      </w:r>
      <w:r>
        <w:rPr>
          <w:rFonts w:hint="eastAsia" w:ascii="Times New Roman" w:hAnsi="Times New Roman" w:eastAsia="宋体"/>
          <w:szCs w:val="21"/>
          <w:lang w:val="en-US" w:eastAsia="zh-CN"/>
        </w:rPr>
        <w:t>发展情况设定科学计分方法，并请</w:t>
      </w:r>
      <w:r>
        <w:rPr>
          <w:rFonts w:hint="default" w:ascii="Times New Roman" w:hAnsi="Times New Roman" w:eastAsia="宋体"/>
          <w:szCs w:val="21"/>
          <w:lang w:val="en-US" w:eastAsia="zh-CN"/>
        </w:rPr>
        <w:t>福州市社会保障相关单位业务骨干</w:t>
      </w:r>
      <w:r>
        <w:rPr>
          <w:rFonts w:hint="eastAsia" w:ascii="Times New Roman" w:hAnsi="Times New Roman" w:eastAsia="宋体"/>
          <w:szCs w:val="21"/>
          <w:lang w:val="en-US" w:eastAsia="zh-CN"/>
        </w:rPr>
        <w:t>根据实际情况进行打分。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关于内部管理指标打分方法和得分如下：</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统一数据平台搭建情况——此项</w:t>
      </w:r>
      <w:r>
        <w:rPr>
          <w:rFonts w:hint="default" w:ascii="Times New Roman" w:hAnsi="Times New Roman" w:eastAsia="宋体"/>
          <w:szCs w:val="21"/>
          <w:lang w:val="en-US" w:eastAsia="zh-CN"/>
        </w:rPr>
        <w:t>考察福州市社会保障</w:t>
      </w:r>
      <w:r>
        <w:rPr>
          <w:rFonts w:hint="eastAsia" w:ascii="Times New Roman" w:hAnsi="Times New Roman" w:eastAsia="宋体"/>
          <w:szCs w:val="21"/>
          <w:lang w:val="en-US" w:eastAsia="zh-CN"/>
        </w:rPr>
        <w:t>统一数据平台搭建进度</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通过向福州市人社部门、大数据委咨询，统一数据平台搭建已经进入筹划阶段，2022年底逐步开始指标体系梳理、模型建立、数据库搭建等推进工作</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提出、筹划、推进、测试、上线，完成每个步骤得20分，满分100分。此项得分40分。</w:t>
      </w:r>
    </w:p>
    <w:p>
      <w:pPr>
        <w:ind w:firstLine="420" w:firstLineChars="200"/>
        <w:jc w:val="both"/>
        <w:rPr>
          <w:rFonts w:hint="default" w:ascii="Times New Roman" w:hAnsi="Times New Roman" w:eastAsia="宋体"/>
          <w:szCs w:val="21"/>
          <w:lang w:val="en-US" w:eastAsia="zh-CN"/>
        </w:rPr>
      </w:pPr>
      <w:r>
        <w:rPr>
          <w:rFonts w:hint="default" w:ascii="Times New Roman" w:hAnsi="Times New Roman" w:eastAsia="宋体"/>
          <w:szCs w:val="21"/>
          <w:lang w:val="en-US" w:eastAsia="zh-CN"/>
        </w:rPr>
        <w:t>数据共享情况</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此项综合考量福州市社会保障跨部门、跨系统的数据共享情况。</w:t>
      </w:r>
      <w:r>
        <w:rPr>
          <w:rFonts w:hint="eastAsia" w:ascii="Times New Roman" w:hAnsi="Times New Roman" w:eastAsia="宋体"/>
          <w:szCs w:val="21"/>
          <w:lang w:val="en-US" w:eastAsia="zh-CN"/>
        </w:rPr>
        <w:t>从数据共享质量、共享数量、共享范围、共享条件、共享动态性</w:t>
      </w:r>
      <w:r>
        <w:rPr>
          <w:rFonts w:hint="default" w:ascii="Times New Roman" w:hAnsi="Times New Roman" w:eastAsia="宋体"/>
          <w:szCs w:val="21"/>
          <w:lang w:val="en-US" w:eastAsia="zh-CN"/>
        </w:rPr>
        <w:t>等维度进行评价，</w:t>
      </w:r>
      <w:r>
        <w:rPr>
          <w:rFonts w:hint="eastAsia" w:ascii="Times New Roman" w:hAnsi="Times New Roman" w:eastAsia="宋体"/>
          <w:szCs w:val="21"/>
          <w:lang w:val="en-US" w:eastAsia="zh-CN"/>
        </w:rPr>
        <w:t>每个维度</w:t>
      </w:r>
      <w:r>
        <w:rPr>
          <w:rFonts w:hint="default" w:ascii="Times New Roman" w:hAnsi="Times New Roman" w:eastAsia="宋体"/>
          <w:szCs w:val="21"/>
          <w:lang w:val="en-US" w:eastAsia="zh-CN"/>
        </w:rPr>
        <w:t>最高评价5分，最差评价1分。综合计算结果，5分对应100分，1分对应20分。</w:t>
      </w:r>
      <w:r>
        <w:rPr>
          <w:rFonts w:hint="eastAsia" w:ascii="Times New Roman" w:hAnsi="Times New Roman" w:eastAsia="宋体"/>
          <w:szCs w:val="21"/>
          <w:lang w:val="en-US" w:eastAsia="zh-CN"/>
        </w:rPr>
        <w:t>此项得分50分。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数据更新频率——此项考核福州市社会保障各经办机构每日业务数据上传数据库频率。以每日上传频率为满分100分，平均上传频率每增加一天扣2分。此项得分70分。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数据监管——此项综合考察福州市社会保障日常业务数据情况。</w:t>
      </w:r>
      <w:r>
        <w:rPr>
          <w:rFonts w:hint="default" w:ascii="Times New Roman" w:hAnsi="Times New Roman" w:eastAsia="宋体"/>
          <w:szCs w:val="21"/>
          <w:lang w:val="en-US" w:eastAsia="zh-CN"/>
        </w:rPr>
        <w:t>从数据准确性、完整性、规范性、</w:t>
      </w:r>
      <w:r>
        <w:rPr>
          <w:rFonts w:hint="eastAsia" w:ascii="Times New Roman" w:hAnsi="Times New Roman" w:eastAsia="宋体"/>
          <w:szCs w:val="21"/>
          <w:lang w:val="en-US" w:eastAsia="zh-CN"/>
        </w:rPr>
        <w:t>有效</w:t>
      </w:r>
      <w:r>
        <w:rPr>
          <w:rFonts w:hint="default" w:ascii="Times New Roman" w:hAnsi="Times New Roman" w:eastAsia="宋体"/>
          <w:szCs w:val="21"/>
          <w:lang w:val="en-US" w:eastAsia="zh-CN"/>
        </w:rPr>
        <w:t>性</w:t>
      </w:r>
      <w:r>
        <w:rPr>
          <w:rFonts w:hint="eastAsia" w:ascii="Times New Roman" w:hAnsi="Times New Roman" w:eastAsia="宋体"/>
          <w:szCs w:val="21"/>
          <w:lang w:val="en-US" w:eastAsia="zh-CN"/>
        </w:rPr>
        <w:t>、及时性等维度</w:t>
      </w:r>
      <w:r>
        <w:rPr>
          <w:rFonts w:hint="default" w:ascii="Times New Roman" w:hAnsi="Times New Roman" w:eastAsia="宋体"/>
          <w:szCs w:val="21"/>
          <w:lang w:val="en-US" w:eastAsia="zh-CN"/>
        </w:rPr>
        <w:t>进行评价，</w:t>
      </w:r>
      <w:r>
        <w:rPr>
          <w:rFonts w:hint="eastAsia" w:ascii="Times New Roman" w:hAnsi="Times New Roman" w:eastAsia="宋体"/>
          <w:szCs w:val="21"/>
          <w:lang w:val="en-US" w:eastAsia="zh-CN"/>
        </w:rPr>
        <w:t>每个维度</w:t>
      </w:r>
      <w:r>
        <w:rPr>
          <w:rFonts w:hint="default" w:ascii="Times New Roman" w:hAnsi="Times New Roman" w:eastAsia="宋体"/>
          <w:szCs w:val="21"/>
          <w:lang w:val="en-US" w:eastAsia="zh-CN"/>
        </w:rPr>
        <w:t>最高评价5分，最差评价1分。综合计算结果，5分对应100分，1分对应20分。</w:t>
      </w:r>
      <w:r>
        <w:rPr>
          <w:rFonts w:hint="eastAsia" w:ascii="Times New Roman" w:hAnsi="Times New Roman" w:eastAsia="宋体"/>
          <w:szCs w:val="21"/>
          <w:lang w:val="en-US" w:eastAsia="zh-CN"/>
        </w:rPr>
        <w:t>此项得分90分。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社保基金风险防控情况——</w:t>
      </w:r>
      <w:r>
        <w:rPr>
          <w:rFonts w:hint="default" w:ascii="Times New Roman" w:hAnsi="Times New Roman" w:eastAsia="宋体"/>
          <w:szCs w:val="21"/>
          <w:lang w:val="en-US" w:eastAsia="zh-CN"/>
        </w:rPr>
        <w:t>此项综合考量福州市社会保障数据监管情况，从风险防控、信息安全、资金安全、数据权责情况等维度进行评价，</w:t>
      </w:r>
      <w:r>
        <w:rPr>
          <w:rFonts w:hint="eastAsia" w:ascii="Times New Roman" w:hAnsi="Times New Roman" w:eastAsia="宋体"/>
          <w:szCs w:val="21"/>
          <w:lang w:val="en-US" w:eastAsia="zh-CN"/>
        </w:rPr>
        <w:t>每个维度</w:t>
      </w:r>
      <w:r>
        <w:rPr>
          <w:rFonts w:hint="default" w:ascii="Times New Roman" w:hAnsi="Times New Roman" w:eastAsia="宋体"/>
          <w:szCs w:val="21"/>
          <w:lang w:val="en-US" w:eastAsia="zh-CN"/>
        </w:rPr>
        <w:t>最高评价5分，最差评价1分。综合计算结果，5分对应100分，1分对应20分。</w:t>
      </w:r>
      <w:r>
        <w:rPr>
          <w:rFonts w:hint="eastAsia" w:ascii="Times New Roman" w:hAnsi="Times New Roman" w:eastAsia="宋体"/>
          <w:szCs w:val="21"/>
          <w:lang w:val="en-US" w:eastAsia="zh-CN"/>
        </w:rPr>
        <w:t>此项得分90分。</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线上认证情况——此项考核养老保险待遇领取资格认证情况。以2021年认证情况计算得分，通过APP认证 17466人，占总人数的45%。此项得分45分。</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其内部管理得分如表2所示：</w:t>
      </w:r>
    </w:p>
    <w:p>
      <w:pPr>
        <w:ind w:firstLine="420" w:firstLineChars="200"/>
        <w:jc w:val="center"/>
        <w:rPr>
          <w:rFonts w:hint="default" w:ascii="Times New Roman" w:hAnsi="Times New Roman" w:eastAsia="宋体"/>
          <w:szCs w:val="21"/>
          <w:lang w:val="en-US" w:eastAsia="zh-CN"/>
        </w:rPr>
      </w:pPr>
      <w:r>
        <w:rPr>
          <w:rFonts w:hint="eastAsia" w:ascii="Times New Roman" w:hAnsi="Times New Roman" w:eastAsia="宋体"/>
          <w:szCs w:val="21"/>
          <w:lang w:val="en-US" w:eastAsia="zh-CN"/>
        </w:rPr>
        <w:t>表2 内部管理指标得分</w:t>
      </w:r>
    </w:p>
    <w:tbl>
      <w:tblPr>
        <w:tblStyle w:val="6"/>
        <w:tblW w:w="8520"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34"/>
        <w:gridCol w:w="2857"/>
        <w:gridCol w:w="1733"/>
        <w:gridCol w:w="1696"/>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维度（一级指标）</w:t>
            </w:r>
          </w:p>
        </w:tc>
        <w:tc>
          <w:tcPr>
            <w:tcW w:w="2857"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二级指标</w:t>
            </w:r>
          </w:p>
        </w:tc>
        <w:tc>
          <w:tcPr>
            <w:tcW w:w="1733"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权重</w:t>
            </w:r>
          </w:p>
        </w:tc>
        <w:tc>
          <w:tcPr>
            <w:tcW w:w="1696"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得分</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restart"/>
            <w:tcBorders>
              <w:top w:val="single" w:color="auto" w:sz="12" w:space="0"/>
            </w:tcBorders>
            <w:vAlign w:val="center"/>
          </w:tcPr>
          <w:p>
            <w:pPr>
              <w:ind w:firstLine="420" w:firstLineChars="200"/>
              <w:jc w:val="both"/>
              <w:rPr>
                <w:rFonts w:hint="default" w:ascii="Times New Roman" w:hAnsi="Times New Roman" w:eastAsia="宋体"/>
                <w:szCs w:val="21"/>
                <w:lang w:val="en-US" w:eastAsia="zh-CN"/>
              </w:rPr>
            </w:pPr>
            <w:r>
              <w:rPr>
                <w:rFonts w:hint="default" w:ascii="Times New Roman" w:hAnsi="Times New Roman" w:eastAsia="宋体"/>
                <w:szCs w:val="21"/>
                <w:lang w:val="en-US" w:eastAsia="zh-CN"/>
              </w:rPr>
              <w:t>内部</w:t>
            </w:r>
            <w:r>
              <w:rPr>
                <w:rFonts w:hint="eastAsia" w:ascii="Times New Roman" w:hAnsi="Times New Roman" w:eastAsia="宋体"/>
                <w:szCs w:val="21"/>
                <w:lang w:val="en-US" w:eastAsia="zh-CN"/>
              </w:rPr>
              <w:t>管理</w:t>
            </w:r>
          </w:p>
        </w:tc>
        <w:tc>
          <w:tcPr>
            <w:tcW w:w="2857" w:type="dxa"/>
            <w:tcBorders>
              <w:top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统一数据平台搭建情况</w:t>
            </w:r>
          </w:p>
        </w:tc>
        <w:tc>
          <w:tcPr>
            <w:tcW w:w="1733" w:type="dxa"/>
            <w:tcBorders>
              <w:top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20%</w:t>
            </w:r>
          </w:p>
        </w:tc>
        <w:tc>
          <w:tcPr>
            <w:tcW w:w="1696" w:type="dxa"/>
            <w:tcBorders>
              <w:top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40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57"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数据共享情况</w:t>
            </w:r>
          </w:p>
        </w:tc>
        <w:tc>
          <w:tcPr>
            <w:tcW w:w="1733"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15%</w:t>
            </w:r>
          </w:p>
        </w:tc>
        <w:tc>
          <w:tcPr>
            <w:tcW w:w="1696"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50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57"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数据更新频率</w:t>
            </w:r>
          </w:p>
        </w:tc>
        <w:tc>
          <w:tcPr>
            <w:tcW w:w="1733"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15%</w:t>
            </w:r>
          </w:p>
        </w:tc>
        <w:tc>
          <w:tcPr>
            <w:tcW w:w="1696"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70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57"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数据监管</w:t>
            </w:r>
          </w:p>
        </w:tc>
        <w:tc>
          <w:tcPr>
            <w:tcW w:w="1733" w:type="dxa"/>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20%</w:t>
            </w:r>
          </w:p>
        </w:tc>
        <w:tc>
          <w:tcPr>
            <w:tcW w:w="1696"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90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continue"/>
            <w:vAlign w:val="center"/>
          </w:tcPr>
          <w:p>
            <w:pPr>
              <w:ind w:firstLine="420" w:firstLineChars="200"/>
              <w:jc w:val="both"/>
              <w:rPr>
                <w:rFonts w:hint="eastAsia" w:ascii="Times New Roman" w:hAnsi="Times New Roman" w:eastAsia="宋体"/>
                <w:szCs w:val="21"/>
                <w:lang w:val="en-US" w:eastAsia="zh-CN"/>
              </w:rPr>
            </w:pPr>
          </w:p>
        </w:tc>
        <w:tc>
          <w:tcPr>
            <w:tcW w:w="2857"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社保基金风险防控情况</w:t>
            </w:r>
          </w:p>
        </w:tc>
        <w:tc>
          <w:tcPr>
            <w:tcW w:w="1733" w:type="dxa"/>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20%</w:t>
            </w:r>
          </w:p>
        </w:tc>
        <w:tc>
          <w:tcPr>
            <w:tcW w:w="1696" w:type="dxa"/>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90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234" w:type="dxa"/>
            <w:vMerge w:val="continue"/>
            <w:tcBorders>
              <w:bottom w:val="single" w:color="auto" w:sz="8" w:space="0"/>
            </w:tcBorders>
            <w:vAlign w:val="center"/>
          </w:tcPr>
          <w:p>
            <w:pPr>
              <w:ind w:firstLine="420" w:firstLineChars="200"/>
              <w:jc w:val="both"/>
              <w:rPr>
                <w:rFonts w:hint="eastAsia" w:ascii="Times New Roman" w:hAnsi="Times New Roman" w:eastAsia="宋体"/>
                <w:szCs w:val="21"/>
                <w:lang w:val="en-US" w:eastAsia="zh-CN"/>
              </w:rPr>
            </w:pPr>
          </w:p>
        </w:tc>
        <w:tc>
          <w:tcPr>
            <w:tcW w:w="2857" w:type="dxa"/>
            <w:tcBorders>
              <w:bottom w:val="single" w:color="auto" w:sz="8"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线上认证情况</w:t>
            </w:r>
          </w:p>
        </w:tc>
        <w:tc>
          <w:tcPr>
            <w:tcW w:w="1733" w:type="dxa"/>
            <w:tcBorders>
              <w:bottom w:val="single" w:color="auto" w:sz="8"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10%</w:t>
            </w:r>
          </w:p>
        </w:tc>
        <w:tc>
          <w:tcPr>
            <w:tcW w:w="1696" w:type="dxa"/>
            <w:tcBorders>
              <w:bottom w:val="single" w:color="auto" w:sz="8"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45</w:t>
            </w:r>
          </w:p>
        </w:tc>
      </w:tr>
    </w:tbl>
    <w:p>
      <w:pPr>
        <w:jc w:val="both"/>
        <w:rPr>
          <w:rFonts w:hint="default" w:ascii="Times New Roman" w:hAnsi="Times New Roman" w:eastAsia="宋体"/>
          <w:szCs w:val="21"/>
          <w:lang w:val="en-US" w:eastAsia="zh-CN"/>
        </w:rPr>
      </w:pPr>
    </w:p>
    <w:p>
      <w:pPr>
        <w:ind w:firstLine="42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加上权重计算结果为：</w:t>
      </w:r>
    </w:p>
    <w:p>
      <w:pPr>
        <w:ind w:firstLine="42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20%*40+15%*50+15%*70+20%*90+20%*90+10%*45=67</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从上表可以看出福州市社会保障数据治理在数据平台搭建、数据共享、数据更新频率、线上认证方面还需要改进和提升。</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关于学习成长指标打分方法和得分如下：</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工作人员培训次数——此项考察福州市社会保障部门对工作人员信息化、数据治理方面培训情况。以每年举办培训一次频率为满分100分，间隔每增加1年扣10分。此项得分60分。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信息科室人员配备——此项考察福州市社会保障部门信息科室人员情况。从人员数量、人员专业性、人员创新能力、人员学历等维度进行打分。每个维度</w:t>
      </w:r>
      <w:r>
        <w:rPr>
          <w:rFonts w:hint="default" w:ascii="Times New Roman" w:hAnsi="Times New Roman" w:eastAsia="宋体"/>
          <w:szCs w:val="21"/>
          <w:lang w:val="en-US" w:eastAsia="zh-CN"/>
        </w:rPr>
        <w:t>最高评价5分，最差评价1分。综合计算结果，5分对应100分，1分对应20分。</w:t>
      </w:r>
      <w:r>
        <w:rPr>
          <w:rFonts w:hint="eastAsia" w:ascii="Times New Roman" w:hAnsi="Times New Roman" w:eastAsia="宋体"/>
          <w:szCs w:val="21"/>
          <w:lang w:val="en-US" w:eastAsia="zh-CN"/>
        </w:rPr>
        <w:t>此项得分60分。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政策宣传——此项考察福州市社会保障政策宣传情况。从宣传渠道、更新频率、政策解释、宣传方式等维度进行打分。每个维度</w:t>
      </w:r>
      <w:r>
        <w:rPr>
          <w:rFonts w:hint="default" w:ascii="Times New Roman" w:hAnsi="Times New Roman" w:eastAsia="宋体"/>
          <w:szCs w:val="21"/>
          <w:lang w:val="en-US" w:eastAsia="zh-CN"/>
        </w:rPr>
        <w:t>最高评价5分，最差评价1分。综合计算结果，5分对应100分，1分对应20分。</w:t>
      </w:r>
      <w:r>
        <w:rPr>
          <w:rFonts w:hint="eastAsia" w:ascii="Times New Roman" w:hAnsi="Times New Roman" w:eastAsia="宋体"/>
          <w:szCs w:val="21"/>
          <w:lang w:val="en-US" w:eastAsia="zh-CN"/>
        </w:rPr>
        <w:t>此项得分80分。</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群众满意度——此项考察办事群众对社会保障工作的满意程度。结合现场业务办结后“好差评”机器评价结果和网上事项评价结果，此项统计2021年1月--2021年12月平均数据，满分100分，每获得一个非好评评价扣2分。此项得分98分。</w:t>
      </w:r>
    </w:p>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其学习成长指标得分如表3所示：</w:t>
      </w:r>
    </w:p>
    <w:p>
      <w:pPr>
        <w:ind w:firstLine="420" w:firstLineChars="200"/>
        <w:jc w:val="center"/>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表3学习成长指标得分</w:t>
      </w:r>
    </w:p>
    <w:tbl>
      <w:tblPr>
        <w:tblStyle w:val="6"/>
        <w:tblW w:w="8520" w:type="dxa"/>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44"/>
        <w:gridCol w:w="2442"/>
        <w:gridCol w:w="1967"/>
        <w:gridCol w:w="1967"/>
      </w:tblGrid>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4"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维度（一级指标）</w:t>
            </w:r>
          </w:p>
        </w:tc>
        <w:tc>
          <w:tcPr>
            <w:tcW w:w="2442"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二级指标</w:t>
            </w:r>
          </w:p>
        </w:tc>
        <w:tc>
          <w:tcPr>
            <w:tcW w:w="1967"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权重</w:t>
            </w:r>
          </w:p>
        </w:tc>
        <w:tc>
          <w:tcPr>
            <w:tcW w:w="1967" w:type="dxa"/>
            <w:tcBorders>
              <w:bottom w:val="single" w:color="auto" w:sz="12" w:space="0"/>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得分</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4" w:type="dxa"/>
            <w:vMerge w:val="restart"/>
            <w:tcBorders>
              <w:top w:val="single" w:color="auto" w:sz="8" w:space="0"/>
              <w:tl2br w:val="nil"/>
              <w:tr2bl w:val="nil"/>
            </w:tcBorders>
            <w:vAlign w:val="center"/>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学习成长</w:t>
            </w:r>
          </w:p>
        </w:tc>
        <w:tc>
          <w:tcPr>
            <w:tcW w:w="2442" w:type="dxa"/>
            <w:tcBorders>
              <w:top w:val="single" w:color="auto" w:sz="8" w:space="0"/>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工作人员培训次数</w:t>
            </w:r>
          </w:p>
        </w:tc>
        <w:tc>
          <w:tcPr>
            <w:tcW w:w="1967" w:type="dxa"/>
            <w:tcBorders>
              <w:top w:val="single" w:color="auto" w:sz="8" w:space="0"/>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10%</w:t>
            </w:r>
          </w:p>
        </w:tc>
        <w:tc>
          <w:tcPr>
            <w:tcW w:w="1967" w:type="dxa"/>
            <w:tcBorders>
              <w:top w:val="single" w:color="auto" w:sz="8" w:space="0"/>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60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4"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442"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信息科室人员配备</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60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4"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442"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政策宣传</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80</w:t>
            </w:r>
          </w:p>
        </w:tc>
      </w:tr>
      <w:tr>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c>
          <w:tcPr>
            <w:tcW w:w="2144" w:type="dxa"/>
            <w:vMerge w:val="continue"/>
            <w:tcBorders>
              <w:tl2br w:val="nil"/>
              <w:tr2bl w:val="nil"/>
            </w:tcBorders>
            <w:vAlign w:val="center"/>
          </w:tcPr>
          <w:p>
            <w:pPr>
              <w:ind w:firstLine="420" w:firstLineChars="200"/>
              <w:jc w:val="both"/>
              <w:rPr>
                <w:rFonts w:hint="eastAsia" w:ascii="Times New Roman" w:hAnsi="Times New Roman" w:eastAsia="宋体"/>
                <w:szCs w:val="21"/>
                <w:lang w:val="en-US" w:eastAsia="zh-CN"/>
              </w:rPr>
            </w:pPr>
          </w:p>
        </w:tc>
        <w:tc>
          <w:tcPr>
            <w:tcW w:w="2442" w:type="dxa"/>
            <w:tcBorders>
              <w:tl2br w:val="nil"/>
              <w:tr2bl w:val="nil"/>
            </w:tcBorders>
          </w:tcPr>
          <w:p>
            <w:pPr>
              <w:ind w:firstLine="420" w:firstLineChars="20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群众满意度</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30%</w:t>
            </w:r>
          </w:p>
        </w:tc>
        <w:tc>
          <w:tcPr>
            <w:tcW w:w="1967" w:type="dxa"/>
            <w:tcBorders>
              <w:tl2br w:val="nil"/>
              <w:tr2bl w:val="nil"/>
            </w:tcBorders>
          </w:tcPr>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98</w:t>
            </w:r>
          </w:p>
        </w:tc>
      </w:tr>
    </w:tbl>
    <w:p>
      <w:pPr>
        <w:ind w:firstLine="420" w:firstLineChars="200"/>
        <w:jc w:val="center"/>
        <w:rPr>
          <w:rFonts w:hint="default" w:ascii="Times New Roman" w:hAnsi="Times New Roman" w:eastAsia="宋体"/>
          <w:szCs w:val="21"/>
          <w:lang w:val="en-US" w:eastAsia="zh-CN"/>
        </w:rPr>
      </w:pPr>
    </w:p>
    <w:p>
      <w:pPr>
        <w:ind w:firstLine="420"/>
        <w:jc w:val="both"/>
        <w:rPr>
          <w:rFonts w:hint="eastAsia" w:ascii="Times New Roman" w:hAnsi="Times New Roman" w:eastAsia="宋体"/>
          <w:szCs w:val="21"/>
          <w:lang w:val="en-US" w:eastAsia="zh-CN"/>
        </w:rPr>
      </w:pPr>
      <w:r>
        <w:rPr>
          <w:rFonts w:hint="eastAsia" w:ascii="Times New Roman" w:hAnsi="Times New Roman" w:eastAsia="宋体"/>
          <w:szCs w:val="21"/>
          <w:lang w:val="en-US" w:eastAsia="zh-CN"/>
        </w:rPr>
        <w:t>加上权重计算结果为：</w:t>
      </w:r>
    </w:p>
    <w:p>
      <w:pPr>
        <w:ind w:firstLine="42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10%*60+30%*60+30%*80+30%*98=77</w:t>
      </w:r>
    </w:p>
    <w:p>
      <w:pPr>
        <w:ind w:firstLine="420" w:firstLineChars="200"/>
        <w:jc w:val="both"/>
        <w:rPr>
          <w:rFonts w:hint="default" w:ascii="Times New Roman" w:hAnsi="Times New Roman" w:eastAsia="宋体"/>
          <w:szCs w:val="21"/>
          <w:lang w:val="en-US" w:eastAsia="zh-CN"/>
        </w:rPr>
      </w:pPr>
      <w:r>
        <w:rPr>
          <w:rFonts w:hint="eastAsia" w:ascii="Times New Roman" w:hAnsi="Times New Roman" w:eastAsia="宋体"/>
          <w:szCs w:val="21"/>
          <w:lang w:val="en-US" w:eastAsia="zh-CN"/>
        </w:rPr>
        <w:t>从上表可以看出福州市社会保障数据治理在工作人员培训次数、信息科室人员配备、政策宣传方面还需要改进。</w:t>
      </w:r>
    </w:p>
    <w:p>
      <w:pPr>
        <w:ind w:firstLine="602" w:firstLineChars="200"/>
        <w:rPr>
          <w:rFonts w:hint="eastAsia"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t xml:space="preserve">4 </w:t>
      </w:r>
      <w:r>
        <w:rPr>
          <w:rFonts w:hint="eastAsia" w:ascii="Times New Roman" w:hAnsi="Times New Roman" w:eastAsia="宋体"/>
          <w:b/>
          <w:bCs/>
          <w:sz w:val="30"/>
          <w:szCs w:val="30"/>
        </w:rPr>
        <w:t>社会保障数据治理</w:t>
      </w:r>
      <w:r>
        <w:rPr>
          <w:rFonts w:hint="eastAsia" w:ascii="Times New Roman" w:hAnsi="Times New Roman" w:eastAsia="宋体"/>
          <w:b/>
          <w:bCs/>
          <w:sz w:val="30"/>
          <w:szCs w:val="30"/>
          <w:lang w:val="en-US" w:eastAsia="zh-CN"/>
        </w:rPr>
        <w:t>改进措施</w:t>
      </w:r>
    </w:p>
    <w:p>
      <w:pPr>
        <w:ind w:firstLine="562" w:firstLineChars="200"/>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4.1加强数据共享，提高更新频率</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要</w:t>
      </w:r>
      <w:r>
        <w:rPr>
          <w:rFonts w:hint="default" w:ascii="Times New Roman" w:hAnsi="Times New Roman" w:eastAsia="宋体"/>
          <w:szCs w:val="21"/>
          <w:lang w:val="en-US" w:eastAsia="zh-CN"/>
        </w:rPr>
        <w:t>加快建设</w:t>
      </w:r>
      <w:r>
        <w:rPr>
          <w:rFonts w:hint="eastAsia" w:ascii="Times New Roman" w:hAnsi="Times New Roman" w:eastAsia="宋体"/>
          <w:szCs w:val="21"/>
          <w:lang w:val="en-US" w:eastAsia="zh-CN"/>
        </w:rPr>
        <w:t>社会保障</w:t>
      </w:r>
      <w:r>
        <w:rPr>
          <w:rFonts w:hint="default" w:ascii="Times New Roman" w:hAnsi="Times New Roman" w:eastAsia="宋体"/>
          <w:szCs w:val="21"/>
          <w:lang w:val="en-US" w:eastAsia="zh-CN"/>
        </w:rPr>
        <w:t>统一</w:t>
      </w:r>
      <w:r>
        <w:rPr>
          <w:rFonts w:hint="eastAsia" w:ascii="Times New Roman" w:hAnsi="Times New Roman" w:eastAsia="宋体"/>
          <w:szCs w:val="21"/>
          <w:lang w:val="en-US" w:eastAsia="zh-CN"/>
        </w:rPr>
        <w:t>业务数据平台，加强社会保障跨部门</w:t>
      </w:r>
      <w:r>
        <w:rPr>
          <w:rFonts w:hint="default" w:ascii="Times New Roman" w:hAnsi="Times New Roman" w:eastAsia="宋体"/>
          <w:szCs w:val="21"/>
          <w:lang w:val="en-US" w:eastAsia="zh-CN"/>
        </w:rPr>
        <w:t>、跨系统的数据开放和数据共享</w:t>
      </w:r>
      <w:r>
        <w:rPr>
          <w:rFonts w:hint="eastAsia" w:ascii="Times New Roman" w:hAnsi="Times New Roman" w:eastAsia="宋体"/>
          <w:szCs w:val="21"/>
          <w:lang w:val="en-US" w:eastAsia="zh-CN"/>
        </w:rPr>
        <w:t>，实现“五险合一”。对共享的数据进行分类管理，统一规范业务术语和关键字段，实现“一窗受理、一键查询、一站服务、一次办结”。群众在一个社保窗口，可以同时查询“五险”的基本信息和缴费情况；修改个人基础资料，如电话号码、地址，可同步到各个经办系统。</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业务数据更新频率调整为每个工作日，确保数据库及时更新。规范业务复核工作，及时清理待复核业务和错误数据，保证当日上传的业务数据完整性和准确性。</w:t>
      </w:r>
    </w:p>
    <w:p>
      <w:pPr>
        <w:ind w:firstLine="562" w:firstLineChars="200"/>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4.2拓宽政策宣传渠道，加大宣传力度</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为增加社会保障政策宣传的覆盖范围，加大政策宣传力度，提升群众政策知晓率，可以从以下几个方面入手：①人社部门</w:t>
      </w:r>
      <w:r>
        <w:rPr>
          <w:rFonts w:hint="default" w:ascii="Times New Roman" w:hAnsi="Times New Roman" w:eastAsia="宋体"/>
          <w:szCs w:val="21"/>
          <w:lang w:val="en-US" w:eastAsia="zh-CN"/>
        </w:rPr>
        <w:t>门户网站</w:t>
      </w:r>
      <w:r>
        <w:rPr>
          <w:rFonts w:hint="eastAsia" w:ascii="Times New Roman" w:hAnsi="Times New Roman" w:eastAsia="宋体"/>
          <w:szCs w:val="21"/>
          <w:lang w:val="en-US" w:eastAsia="zh-CN"/>
        </w:rPr>
        <w:t>及时更新</w:t>
      </w:r>
      <w:r>
        <w:rPr>
          <w:rFonts w:hint="default" w:ascii="Times New Roman" w:hAnsi="Times New Roman" w:eastAsia="宋体"/>
          <w:szCs w:val="21"/>
          <w:lang w:val="en-US" w:eastAsia="zh-CN"/>
        </w:rPr>
        <w:t>社会保障</w:t>
      </w:r>
      <w:r>
        <w:rPr>
          <w:rFonts w:hint="eastAsia" w:ascii="Times New Roman" w:hAnsi="Times New Roman" w:eastAsia="宋体"/>
          <w:szCs w:val="21"/>
          <w:lang w:val="en-US" w:eastAsia="zh-CN"/>
        </w:rPr>
        <w:t>最新</w:t>
      </w:r>
      <w:r>
        <w:rPr>
          <w:rFonts w:hint="default" w:ascii="Times New Roman" w:hAnsi="Times New Roman" w:eastAsia="宋体"/>
          <w:szCs w:val="21"/>
          <w:lang w:val="en-US" w:eastAsia="zh-CN"/>
        </w:rPr>
        <w:t>政策</w:t>
      </w:r>
      <w:r>
        <w:rPr>
          <w:rFonts w:hint="eastAsia" w:ascii="Times New Roman" w:hAnsi="Times New Roman" w:eastAsia="宋体"/>
          <w:szCs w:val="21"/>
          <w:lang w:val="en-US" w:eastAsia="zh-CN"/>
        </w:rPr>
        <w:t>，公开政务工作；②官方</w:t>
      </w:r>
      <w:r>
        <w:rPr>
          <w:rFonts w:hint="default" w:ascii="Times New Roman" w:hAnsi="Times New Roman" w:eastAsia="宋体"/>
          <w:szCs w:val="21"/>
          <w:lang w:val="en-US" w:eastAsia="zh-CN"/>
        </w:rPr>
        <w:t>微信公众号</w:t>
      </w:r>
      <w:r>
        <w:rPr>
          <w:rFonts w:hint="eastAsia" w:ascii="Times New Roman" w:hAnsi="Times New Roman" w:eastAsia="宋体"/>
          <w:szCs w:val="21"/>
          <w:lang w:val="en-US" w:eastAsia="zh-CN"/>
        </w:rPr>
        <w:t>每周</w:t>
      </w:r>
      <w:r>
        <w:rPr>
          <w:rFonts w:hint="default" w:ascii="Times New Roman" w:hAnsi="Times New Roman" w:eastAsia="宋体"/>
          <w:szCs w:val="21"/>
          <w:lang w:val="en-US" w:eastAsia="zh-CN"/>
        </w:rPr>
        <w:t>推送</w:t>
      </w:r>
      <w:r>
        <w:rPr>
          <w:rFonts w:hint="eastAsia" w:ascii="Times New Roman" w:hAnsi="Times New Roman" w:eastAsia="宋体"/>
          <w:szCs w:val="21"/>
          <w:lang w:val="en-US" w:eastAsia="zh-CN"/>
        </w:rPr>
        <w:t>社会保障</w:t>
      </w:r>
      <w:r>
        <w:rPr>
          <w:rFonts w:hint="default" w:ascii="Times New Roman" w:hAnsi="Times New Roman" w:eastAsia="宋体"/>
          <w:szCs w:val="21"/>
          <w:lang w:val="en-US" w:eastAsia="zh-CN"/>
        </w:rPr>
        <w:t>相关文章，包括政策解释、实例列举</w:t>
      </w:r>
      <w:r>
        <w:rPr>
          <w:rFonts w:hint="eastAsia" w:ascii="Times New Roman" w:hAnsi="Times New Roman" w:eastAsia="宋体"/>
          <w:szCs w:val="21"/>
          <w:lang w:val="en-US" w:eastAsia="zh-CN"/>
        </w:rPr>
        <w:t>；③</w:t>
      </w:r>
      <w:r>
        <w:rPr>
          <w:rFonts w:hint="default" w:ascii="Times New Roman" w:hAnsi="Times New Roman" w:eastAsia="宋体"/>
          <w:szCs w:val="21"/>
          <w:lang w:val="en-US" w:eastAsia="zh-CN"/>
        </w:rPr>
        <w:t>其他社交平台（</w:t>
      </w:r>
      <w:r>
        <w:rPr>
          <w:rFonts w:hint="eastAsia" w:ascii="Times New Roman" w:hAnsi="Times New Roman" w:eastAsia="宋体"/>
          <w:szCs w:val="21"/>
          <w:lang w:val="en-US" w:eastAsia="zh-CN"/>
        </w:rPr>
        <w:t>如</w:t>
      </w:r>
      <w:r>
        <w:rPr>
          <w:rFonts w:hint="default" w:ascii="Times New Roman" w:hAnsi="Times New Roman" w:eastAsia="宋体"/>
          <w:szCs w:val="21"/>
          <w:lang w:val="en-US" w:eastAsia="zh-CN"/>
        </w:rPr>
        <w:t>微博等）转载其他地市优秀举措，借鉴相关经验</w:t>
      </w:r>
      <w:r>
        <w:rPr>
          <w:rFonts w:hint="eastAsia" w:ascii="Times New Roman" w:hAnsi="Times New Roman" w:eastAsia="宋体"/>
          <w:szCs w:val="21"/>
          <w:lang w:val="en-US" w:eastAsia="zh-CN"/>
        </w:rPr>
        <w:t>；④</w:t>
      </w:r>
      <w:r>
        <w:rPr>
          <w:rFonts w:hint="default" w:ascii="Times New Roman" w:hAnsi="Times New Roman" w:eastAsia="宋体"/>
          <w:szCs w:val="21"/>
          <w:lang w:val="en-US" w:eastAsia="zh-CN"/>
        </w:rPr>
        <w:t>定期召开政策宣讲会，为群众答疑解惑</w:t>
      </w:r>
      <w:r>
        <w:rPr>
          <w:rFonts w:hint="eastAsia" w:ascii="Times New Roman" w:hAnsi="Times New Roman" w:eastAsia="宋体"/>
          <w:szCs w:val="21"/>
          <w:lang w:val="en-US" w:eastAsia="zh-CN"/>
        </w:rPr>
        <w:t>。</w:t>
      </w:r>
    </w:p>
    <w:p>
      <w:pPr>
        <w:ind w:firstLine="562" w:firstLineChars="200"/>
        <w:rPr>
          <w:rFonts w:hint="default"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4.3</w:t>
      </w:r>
      <w:r>
        <w:rPr>
          <w:rFonts w:hint="default" w:ascii="Times New Roman" w:hAnsi="Times New Roman" w:eastAsia="宋体"/>
          <w:b/>
          <w:bCs/>
          <w:sz w:val="28"/>
          <w:szCs w:val="28"/>
          <w:lang w:val="en-US" w:eastAsia="zh-CN"/>
        </w:rPr>
        <w:t>组建人才队伍，加强人才培训</w:t>
      </w:r>
    </w:p>
    <w:p>
      <w:pPr>
        <w:ind w:firstLine="420" w:firstLineChars="200"/>
        <w:rPr>
          <w:rFonts w:hint="eastAsia" w:ascii="Times New Roman" w:hAnsi="Times New Roman" w:eastAsia="宋体"/>
          <w:szCs w:val="21"/>
          <w:lang w:val="en-US" w:eastAsia="zh-CN"/>
        </w:rPr>
      </w:pPr>
      <w:r>
        <w:rPr>
          <w:rFonts w:hint="eastAsia" w:ascii="Times New Roman" w:hAnsi="Times New Roman" w:eastAsia="宋体"/>
          <w:szCs w:val="21"/>
          <w:lang w:val="en-US" w:eastAsia="zh-CN"/>
        </w:rPr>
        <w:t>提升社会保障数据治理水平，需要重视从业人员的专业性。注重人才培养，提升从业人员</w:t>
      </w:r>
      <w:r>
        <w:rPr>
          <w:rFonts w:hint="default" w:ascii="Times New Roman" w:hAnsi="Times New Roman" w:eastAsia="宋体"/>
          <w:szCs w:val="21"/>
          <w:lang w:val="en-US" w:eastAsia="zh-CN"/>
        </w:rPr>
        <w:t>数据搜集、处理和分析</w:t>
      </w:r>
      <w:r>
        <w:rPr>
          <w:rFonts w:hint="eastAsia" w:ascii="Times New Roman" w:hAnsi="Times New Roman" w:eastAsia="宋体"/>
          <w:szCs w:val="21"/>
          <w:lang w:val="en-US" w:eastAsia="zh-CN"/>
        </w:rPr>
        <w:t>能力，组建多层次人才队伍。具体可以从以下几个方面入手：①</w:t>
      </w:r>
      <w:r>
        <w:rPr>
          <w:rFonts w:hint="default" w:ascii="Times New Roman" w:hAnsi="Times New Roman" w:eastAsia="宋体"/>
          <w:szCs w:val="21"/>
          <w:lang w:val="en-US" w:eastAsia="zh-CN"/>
        </w:rPr>
        <w:t>增加信息科室人员配备，</w:t>
      </w:r>
      <w:r>
        <w:rPr>
          <w:rFonts w:hint="eastAsia" w:ascii="Times New Roman" w:hAnsi="Times New Roman" w:eastAsia="宋体"/>
          <w:szCs w:val="21"/>
          <w:lang w:val="en-US" w:eastAsia="zh-CN"/>
        </w:rPr>
        <w:t>注重信息科室人员的专业性。信息科室人员必须为信息相关专业毕业人员，或有从事数据处理方面的工作经验。②</w:t>
      </w:r>
      <w:r>
        <w:rPr>
          <w:rFonts w:hint="default" w:ascii="Times New Roman" w:hAnsi="Times New Roman" w:eastAsia="宋体"/>
          <w:szCs w:val="21"/>
          <w:lang w:val="en-US" w:eastAsia="zh-CN"/>
        </w:rPr>
        <w:t>聘请专业团队</w:t>
      </w:r>
      <w:r>
        <w:rPr>
          <w:rFonts w:hint="eastAsia" w:ascii="Times New Roman" w:hAnsi="Times New Roman" w:eastAsia="宋体"/>
          <w:szCs w:val="21"/>
          <w:lang w:val="en-US" w:eastAsia="zh-CN"/>
        </w:rPr>
        <w:t>对数据库</w:t>
      </w:r>
      <w:r>
        <w:rPr>
          <w:rFonts w:hint="default" w:ascii="Times New Roman" w:hAnsi="Times New Roman" w:eastAsia="宋体"/>
          <w:szCs w:val="21"/>
          <w:lang w:val="en-US" w:eastAsia="zh-CN"/>
        </w:rPr>
        <w:t>进行</w:t>
      </w:r>
      <w:r>
        <w:rPr>
          <w:rFonts w:hint="eastAsia" w:ascii="Times New Roman" w:hAnsi="Times New Roman" w:eastAsia="宋体"/>
          <w:szCs w:val="21"/>
          <w:lang w:val="en-US" w:eastAsia="zh-CN"/>
        </w:rPr>
        <w:t>日常</w:t>
      </w:r>
      <w:r>
        <w:rPr>
          <w:rFonts w:hint="default" w:ascii="Times New Roman" w:hAnsi="Times New Roman" w:eastAsia="宋体"/>
          <w:szCs w:val="21"/>
          <w:lang w:val="en-US" w:eastAsia="zh-CN"/>
        </w:rPr>
        <w:t>维护</w:t>
      </w:r>
      <w:r>
        <w:rPr>
          <w:rFonts w:hint="eastAsia" w:ascii="Times New Roman" w:hAnsi="Times New Roman" w:eastAsia="宋体"/>
          <w:szCs w:val="21"/>
          <w:lang w:val="en-US" w:eastAsia="zh-CN"/>
        </w:rPr>
        <w:t>、业务系统</w:t>
      </w:r>
      <w:r>
        <w:rPr>
          <w:rFonts w:hint="default" w:ascii="Times New Roman" w:hAnsi="Times New Roman" w:eastAsia="宋体"/>
          <w:szCs w:val="21"/>
          <w:lang w:val="en-US" w:eastAsia="zh-CN"/>
        </w:rPr>
        <w:t>操作指导</w:t>
      </w:r>
      <w:r>
        <w:rPr>
          <w:rFonts w:hint="eastAsia" w:ascii="Times New Roman" w:hAnsi="Times New Roman" w:eastAsia="宋体"/>
          <w:szCs w:val="21"/>
          <w:lang w:val="en-US" w:eastAsia="zh-CN"/>
        </w:rPr>
        <w:t>和问题处理</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③</w:t>
      </w:r>
      <w:r>
        <w:rPr>
          <w:rFonts w:hint="default" w:ascii="Times New Roman" w:hAnsi="Times New Roman" w:eastAsia="宋体"/>
          <w:szCs w:val="21"/>
          <w:lang w:val="en-US" w:eastAsia="zh-CN"/>
        </w:rPr>
        <w:t>每年进行一次业务人员的技术培训</w:t>
      </w:r>
      <w:r>
        <w:rPr>
          <w:rFonts w:hint="eastAsia" w:ascii="Times New Roman" w:hAnsi="Times New Roman" w:eastAsia="宋体"/>
          <w:szCs w:val="21"/>
          <w:lang w:val="en-US" w:eastAsia="zh-CN"/>
        </w:rPr>
        <w:t>和政策学习。④</w:t>
      </w:r>
      <w:r>
        <w:rPr>
          <w:rFonts w:hint="default" w:ascii="Times New Roman" w:hAnsi="Times New Roman" w:eastAsia="宋体"/>
          <w:szCs w:val="21"/>
          <w:lang w:val="en-US" w:eastAsia="zh-CN"/>
        </w:rPr>
        <w:t>加强与企业、高校的合作，推动大数据治理的</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产学研</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结合，并向</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政用产学研</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协同发展转变</w:t>
      </w:r>
      <w:r>
        <w:rPr>
          <w:rFonts w:hint="eastAsia" w:ascii="Times New Roman" w:hAnsi="Times New Roman" w:eastAsia="宋体"/>
          <w:szCs w:val="21"/>
          <w:lang w:val="en-US" w:eastAsia="zh-CN"/>
        </w:rPr>
        <w:t>。</w:t>
      </w:r>
    </w:p>
    <w:p>
      <w:pPr>
        <w:ind w:firstLine="420" w:firstLineChars="200"/>
        <w:rPr>
          <w:rFonts w:hint="default" w:ascii="Times New Roman" w:hAnsi="Times New Roman" w:eastAsia="宋体"/>
          <w:szCs w:val="21"/>
          <w:lang w:val="en-US" w:eastAsia="zh-CN"/>
        </w:rPr>
      </w:pPr>
      <w:r>
        <w:rPr>
          <w:rFonts w:hint="default" w:ascii="Times New Roman" w:hAnsi="Times New Roman" w:eastAsia="宋体"/>
          <w:szCs w:val="21"/>
          <w:lang w:val="en-US" w:eastAsia="zh-CN"/>
        </w:rPr>
        <w:t>注重对工作人员数据信息技术的学习教育，提高工作人员的科学认识，强化</w:t>
      </w:r>
      <w:r>
        <w:rPr>
          <w:rFonts w:hint="eastAsia" w:ascii="Times New Roman" w:hAnsi="Times New Roman" w:eastAsia="宋体"/>
          <w:szCs w:val="21"/>
          <w:lang w:val="en-US" w:eastAsia="zh-CN"/>
        </w:rPr>
        <w:t>大</w:t>
      </w:r>
      <w:r>
        <w:rPr>
          <w:rFonts w:hint="default" w:ascii="Times New Roman" w:hAnsi="Times New Roman" w:eastAsia="宋体"/>
          <w:szCs w:val="21"/>
          <w:lang w:val="en-US" w:eastAsia="zh-CN"/>
        </w:rPr>
        <w:t>数据技术在</w:t>
      </w:r>
      <w:r>
        <w:rPr>
          <w:rFonts w:hint="eastAsia" w:ascii="Times New Roman" w:hAnsi="Times New Roman" w:eastAsia="宋体"/>
          <w:szCs w:val="21"/>
          <w:lang w:val="en-US" w:eastAsia="zh-CN"/>
        </w:rPr>
        <w:t>数据</w:t>
      </w:r>
      <w:r>
        <w:rPr>
          <w:rFonts w:hint="default" w:ascii="Times New Roman" w:hAnsi="Times New Roman" w:eastAsia="宋体"/>
          <w:szCs w:val="21"/>
          <w:lang w:val="en-US" w:eastAsia="zh-CN"/>
        </w:rPr>
        <w:t>治理过程中的应用，为</w:t>
      </w:r>
      <w:r>
        <w:rPr>
          <w:rFonts w:hint="eastAsia" w:ascii="Times New Roman" w:hAnsi="Times New Roman" w:eastAsia="宋体"/>
          <w:szCs w:val="21"/>
          <w:lang w:val="en-US" w:eastAsia="zh-CN"/>
        </w:rPr>
        <w:t>社会保障信息化</w:t>
      </w:r>
      <w:r>
        <w:rPr>
          <w:rFonts w:hint="default" w:ascii="Times New Roman" w:hAnsi="Times New Roman" w:eastAsia="宋体"/>
          <w:szCs w:val="21"/>
          <w:lang w:val="en-US" w:eastAsia="zh-CN"/>
        </w:rPr>
        <w:t>建设提供技术和人力支撑。</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4.4健全监管机制，保障监管到位</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根据上文分析数据治理管理监督环节问题，福州市在数据治理方面应该推动建立数据治理监管制度，加大监管力度，福州市社会保障可从以下方面着手：①社会保障经办机构</w:t>
      </w:r>
      <w:r>
        <w:rPr>
          <w:rFonts w:hint="default" w:ascii="Times New Roman" w:hAnsi="Times New Roman" w:eastAsia="宋体"/>
          <w:szCs w:val="21"/>
          <w:lang w:val="en-US" w:eastAsia="zh-CN"/>
        </w:rPr>
        <w:t>内设置内控</w:t>
      </w:r>
      <w:r>
        <w:rPr>
          <w:rFonts w:hint="eastAsia" w:ascii="Times New Roman" w:hAnsi="Times New Roman" w:eastAsia="宋体"/>
          <w:szCs w:val="21"/>
          <w:lang w:val="en-US" w:eastAsia="zh-CN"/>
        </w:rPr>
        <w:t>科室</w:t>
      </w:r>
      <w:r>
        <w:rPr>
          <w:rFonts w:hint="default" w:ascii="Times New Roman" w:hAnsi="Times New Roman" w:eastAsia="宋体"/>
          <w:szCs w:val="21"/>
          <w:lang w:val="en-US" w:eastAsia="zh-CN"/>
        </w:rPr>
        <w:t>，每月初抽取部分上月已办结业务进行核查，包括材料是否齐全、业务数据是否准确，将核查有误的数据</w:t>
      </w:r>
      <w:r>
        <w:rPr>
          <w:rFonts w:hint="eastAsia" w:ascii="Times New Roman" w:hAnsi="Times New Roman" w:eastAsia="宋体"/>
          <w:szCs w:val="21"/>
          <w:lang w:val="en-US" w:eastAsia="zh-CN"/>
        </w:rPr>
        <w:t>通过数据后台及时</w:t>
      </w:r>
      <w:r>
        <w:rPr>
          <w:rFonts w:hint="default" w:ascii="Times New Roman" w:hAnsi="Times New Roman" w:eastAsia="宋体"/>
          <w:szCs w:val="21"/>
          <w:lang w:val="en-US" w:eastAsia="zh-CN"/>
        </w:rPr>
        <w:t>修正，正确数据重新上传数据库，做好业务日志保存工作。</w:t>
      </w:r>
      <w:r>
        <w:rPr>
          <w:rFonts w:hint="eastAsia" w:ascii="Times New Roman" w:hAnsi="Times New Roman" w:eastAsia="宋体"/>
          <w:szCs w:val="21"/>
          <w:lang w:val="en-US" w:eastAsia="zh-CN"/>
        </w:rPr>
        <w:t>②理顺</w:t>
      </w:r>
      <w:r>
        <w:rPr>
          <w:rFonts w:hint="default" w:ascii="Times New Roman" w:hAnsi="Times New Roman" w:eastAsia="宋体"/>
          <w:szCs w:val="21"/>
          <w:lang w:val="en-US" w:eastAsia="zh-CN"/>
        </w:rPr>
        <w:t>岗位权限设置，涉及大批量数据操作需要多级权限复核。</w:t>
      </w:r>
      <w:r>
        <w:rPr>
          <w:rFonts w:hint="eastAsia" w:ascii="Times New Roman" w:hAnsi="Times New Roman" w:eastAsia="宋体"/>
          <w:szCs w:val="21"/>
          <w:lang w:val="en-US" w:eastAsia="zh-CN"/>
        </w:rPr>
        <w:t>③加强</w:t>
      </w:r>
      <w:r>
        <w:rPr>
          <w:rFonts w:hint="default" w:ascii="Times New Roman" w:hAnsi="Times New Roman" w:eastAsia="宋体"/>
          <w:szCs w:val="21"/>
          <w:lang w:val="en-US" w:eastAsia="zh-CN"/>
        </w:rPr>
        <w:t>每月与民政、公安等部门</w:t>
      </w:r>
      <w:r>
        <w:rPr>
          <w:rFonts w:hint="eastAsia" w:ascii="Times New Roman" w:hAnsi="Times New Roman" w:eastAsia="宋体"/>
          <w:szCs w:val="21"/>
          <w:lang w:val="en-US" w:eastAsia="zh-CN"/>
        </w:rPr>
        <w:t>的</w:t>
      </w:r>
      <w:r>
        <w:rPr>
          <w:rFonts w:hint="default" w:ascii="Times New Roman" w:hAnsi="Times New Roman" w:eastAsia="宋体"/>
          <w:szCs w:val="21"/>
          <w:lang w:val="en-US" w:eastAsia="zh-CN"/>
        </w:rPr>
        <w:t>数据</w:t>
      </w:r>
      <w:r>
        <w:rPr>
          <w:rFonts w:hint="eastAsia" w:ascii="Times New Roman" w:hAnsi="Times New Roman" w:eastAsia="宋体"/>
          <w:szCs w:val="21"/>
          <w:lang w:val="en-US" w:eastAsia="zh-CN"/>
        </w:rPr>
        <w:t>比对</w:t>
      </w:r>
      <w:r>
        <w:rPr>
          <w:rFonts w:hint="default" w:ascii="Times New Roman" w:hAnsi="Times New Roman" w:eastAsia="宋体"/>
          <w:szCs w:val="21"/>
          <w:lang w:val="en-US" w:eastAsia="zh-CN"/>
        </w:rPr>
        <w:t>工作。核查是否</w:t>
      </w:r>
      <w:r>
        <w:rPr>
          <w:rFonts w:hint="eastAsia" w:ascii="Times New Roman" w:hAnsi="Times New Roman" w:eastAsia="宋体"/>
          <w:szCs w:val="21"/>
          <w:lang w:val="en-US" w:eastAsia="zh-CN"/>
        </w:rPr>
        <w:t>存在</w:t>
      </w:r>
      <w:r>
        <w:rPr>
          <w:rFonts w:hint="default" w:ascii="Times New Roman" w:hAnsi="Times New Roman" w:eastAsia="宋体"/>
          <w:szCs w:val="21"/>
          <w:lang w:val="en-US" w:eastAsia="zh-CN"/>
        </w:rPr>
        <w:t>死亡人员、公安服刑人员仍继续领取养老</w:t>
      </w:r>
      <w:r>
        <w:rPr>
          <w:rFonts w:hint="eastAsia" w:ascii="Times New Roman" w:hAnsi="Times New Roman" w:eastAsia="宋体"/>
          <w:szCs w:val="21"/>
          <w:lang w:val="en-US" w:eastAsia="zh-CN"/>
        </w:rPr>
        <w:t>待遇</w:t>
      </w:r>
      <w:r>
        <w:rPr>
          <w:rFonts w:hint="default" w:ascii="Times New Roman" w:hAnsi="Times New Roman" w:eastAsia="宋体"/>
          <w:szCs w:val="21"/>
          <w:lang w:val="en-US" w:eastAsia="zh-CN"/>
        </w:rPr>
        <w:t>的情况</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每半年与人社部进行数据对接工作</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核查全国范围内是否有重复领取养老</w:t>
      </w:r>
      <w:r>
        <w:rPr>
          <w:rFonts w:hint="eastAsia" w:ascii="Times New Roman" w:hAnsi="Times New Roman" w:eastAsia="宋体"/>
          <w:szCs w:val="21"/>
          <w:lang w:val="en-US" w:eastAsia="zh-CN"/>
        </w:rPr>
        <w:t>待遇</w:t>
      </w:r>
      <w:r>
        <w:rPr>
          <w:rFonts w:hint="default" w:ascii="Times New Roman" w:hAnsi="Times New Roman" w:eastAsia="宋体"/>
          <w:szCs w:val="21"/>
          <w:lang w:val="en-US" w:eastAsia="zh-CN"/>
        </w:rPr>
        <w:t>情况</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及时清理</w:t>
      </w:r>
      <w:r>
        <w:rPr>
          <w:rFonts w:hint="eastAsia" w:ascii="Times New Roman" w:hAnsi="Times New Roman" w:eastAsia="宋体"/>
          <w:szCs w:val="21"/>
          <w:lang w:val="en-US" w:eastAsia="zh-CN"/>
        </w:rPr>
        <w:t>养老待遇多领、</w:t>
      </w:r>
      <w:r>
        <w:rPr>
          <w:rFonts w:hint="default" w:ascii="Times New Roman" w:hAnsi="Times New Roman" w:eastAsia="宋体"/>
          <w:szCs w:val="21"/>
          <w:lang w:val="en-US" w:eastAsia="zh-CN"/>
        </w:rPr>
        <w:t>冒领数据</w:t>
      </w:r>
      <w:r>
        <w:rPr>
          <w:rFonts w:hint="eastAsia" w:ascii="Times New Roman" w:hAnsi="Times New Roman" w:eastAsia="宋体"/>
          <w:szCs w:val="21"/>
          <w:lang w:val="en-US" w:eastAsia="zh-CN"/>
        </w:rPr>
        <w:t>。④</w:t>
      </w:r>
      <w:r>
        <w:rPr>
          <w:rFonts w:hint="default" w:ascii="Times New Roman" w:hAnsi="Times New Roman" w:eastAsia="宋体"/>
          <w:szCs w:val="21"/>
          <w:lang w:val="en-US" w:eastAsia="zh-CN"/>
        </w:rPr>
        <w:t>开通线上监管举报平台，增加群众监管渠道。群众可以在线上进行实名/匿名举报，内控科室核查举报情况，及时进行反馈。对于情节严重的，将调查结果对外公布。将</w:t>
      </w:r>
      <w:r>
        <w:rPr>
          <w:rFonts w:hint="eastAsia" w:ascii="Times New Roman" w:hAnsi="Times New Roman" w:eastAsia="宋体"/>
          <w:szCs w:val="21"/>
          <w:lang w:val="en-US" w:eastAsia="zh-CN"/>
        </w:rPr>
        <w:t>社会保障</w:t>
      </w:r>
      <w:r>
        <w:rPr>
          <w:rFonts w:hint="default" w:ascii="Times New Roman" w:hAnsi="Times New Roman" w:eastAsia="宋体"/>
          <w:szCs w:val="21"/>
          <w:lang w:val="en-US" w:eastAsia="zh-CN"/>
        </w:rPr>
        <w:t>管理完善成为集科学政策、严谨经办、信息透明、严格监督为一体的</w:t>
      </w:r>
      <w:r>
        <w:rPr>
          <w:rFonts w:hint="eastAsia" w:ascii="Times New Roman" w:hAnsi="Times New Roman" w:eastAsia="宋体"/>
          <w:szCs w:val="21"/>
          <w:lang w:val="en-US" w:eastAsia="zh-CN"/>
        </w:rPr>
        <w:t>社会保障数据治理</w:t>
      </w:r>
      <w:r>
        <w:rPr>
          <w:rFonts w:hint="default" w:ascii="Times New Roman" w:hAnsi="Times New Roman" w:eastAsia="宋体"/>
          <w:szCs w:val="21"/>
          <w:lang w:val="en-US" w:eastAsia="zh-CN"/>
        </w:rPr>
        <w:t>管理体系。</w:t>
      </w:r>
    </w:p>
    <w:p>
      <w:pPr>
        <w:ind w:firstLine="562" w:firstLineChars="200"/>
        <w:rPr>
          <w:rFonts w:hint="eastAsia" w:ascii="Times New Roman" w:hAnsi="Times New Roman" w:eastAsia="宋体"/>
          <w:b/>
          <w:bCs/>
          <w:sz w:val="28"/>
          <w:szCs w:val="28"/>
          <w:lang w:val="en-US" w:eastAsia="zh-CN"/>
        </w:rPr>
      </w:pPr>
      <w:r>
        <w:rPr>
          <w:rFonts w:hint="eastAsia" w:ascii="Times New Roman" w:hAnsi="Times New Roman" w:eastAsia="宋体"/>
          <w:b/>
          <w:bCs/>
          <w:sz w:val="28"/>
          <w:szCs w:val="28"/>
          <w:lang w:val="en-US" w:eastAsia="zh-CN"/>
        </w:rPr>
        <w:t>4.5改进认证方式，提高线上比例</w:t>
      </w:r>
    </w:p>
    <w:p>
      <w:pPr>
        <w:ind w:firstLine="420" w:firstLineChars="200"/>
        <w:rPr>
          <w:rFonts w:hint="default" w:ascii="Times New Roman" w:hAnsi="Times New Roman" w:eastAsia="宋体"/>
          <w:szCs w:val="21"/>
          <w:lang w:val="en-US" w:eastAsia="zh-CN"/>
        </w:rPr>
      </w:pPr>
      <w:r>
        <w:rPr>
          <w:rFonts w:hint="eastAsia" w:ascii="Times New Roman" w:hAnsi="Times New Roman" w:eastAsia="宋体"/>
          <w:szCs w:val="21"/>
          <w:lang w:val="en-US" w:eastAsia="zh-CN"/>
        </w:rPr>
        <w:t>养老待遇领取资格认证为每年一次，关系到每一个退休人员。改进认证方式，</w:t>
      </w:r>
      <w:r>
        <w:rPr>
          <w:rFonts w:hint="default" w:ascii="Times New Roman" w:hAnsi="Times New Roman" w:eastAsia="宋体"/>
          <w:szCs w:val="21"/>
          <w:lang w:val="en-US" w:eastAsia="zh-CN"/>
        </w:rPr>
        <w:t>增加认证渠道，</w:t>
      </w:r>
      <w:r>
        <w:rPr>
          <w:rFonts w:hint="eastAsia" w:ascii="Times New Roman" w:hAnsi="Times New Roman" w:eastAsia="宋体"/>
          <w:szCs w:val="21"/>
          <w:lang w:val="en-US" w:eastAsia="zh-CN"/>
        </w:rPr>
        <w:t>让群众少跑路</w:t>
      </w:r>
      <w:r>
        <w:rPr>
          <w:rFonts w:hint="default" w:ascii="Times New Roman" w:hAnsi="Times New Roman" w:eastAsia="宋体"/>
          <w:szCs w:val="21"/>
          <w:lang w:val="en-US" w:eastAsia="zh-CN"/>
        </w:rPr>
        <w:t>。</w:t>
      </w:r>
      <w:r>
        <w:rPr>
          <w:rFonts w:hint="eastAsia" w:ascii="Times New Roman" w:hAnsi="Times New Roman" w:eastAsia="宋体"/>
          <w:szCs w:val="21"/>
          <w:lang w:val="en-US" w:eastAsia="zh-CN"/>
        </w:rPr>
        <w:t>社保部门可以</w:t>
      </w:r>
      <w:r>
        <w:rPr>
          <w:rFonts w:hint="default" w:ascii="Times New Roman" w:hAnsi="Times New Roman" w:eastAsia="宋体"/>
          <w:szCs w:val="21"/>
          <w:lang w:val="en-US" w:eastAsia="zh-CN"/>
        </w:rPr>
        <w:t>根据数据共享结果提供联网认证</w:t>
      </w:r>
      <w:r>
        <w:rPr>
          <w:rFonts w:hint="eastAsia" w:ascii="Times New Roman" w:hAnsi="Times New Roman" w:eastAsia="宋体"/>
          <w:szCs w:val="21"/>
          <w:lang w:val="en-US" w:eastAsia="zh-CN"/>
        </w:rPr>
        <w:t>，自动形成认证记录，登记认证时间和认证数据依据。通过与医保数据比对，半年内有住院记录、半年内接种过新冠疫苗的人员；通过与交通部门数据比对，半年内有进行公交老年卡年审、半年内乘坐过火车或飞机的人员；通过与公安部门数据比对，半年内有办理证件更换的人员。通过这些方式协助退休人员完成资格认证，提高线上认证比例。</w:t>
      </w:r>
    </w:p>
    <w:p>
      <w:pPr>
        <w:ind w:firstLine="602" w:firstLineChars="200"/>
        <w:rPr>
          <w:rFonts w:hint="default" w:ascii="Times New Roman" w:hAnsi="Times New Roman" w:eastAsia="宋体"/>
          <w:b/>
          <w:bCs/>
          <w:sz w:val="30"/>
          <w:szCs w:val="30"/>
          <w:lang w:val="en-US" w:eastAsia="zh-CN"/>
        </w:rPr>
      </w:pPr>
      <w:r>
        <w:rPr>
          <w:rFonts w:hint="eastAsia" w:ascii="Times New Roman" w:hAnsi="Times New Roman" w:eastAsia="宋体"/>
          <w:b/>
          <w:bCs/>
          <w:sz w:val="30"/>
          <w:szCs w:val="30"/>
          <w:lang w:val="en-US" w:eastAsia="zh-CN"/>
        </w:rPr>
        <w:t>5 结语</w:t>
      </w:r>
    </w:p>
    <w:p>
      <w:pPr>
        <w:ind w:firstLine="420" w:firstLineChars="200"/>
        <w:rPr>
          <w:rFonts w:hint="default" w:ascii="Times New Roman" w:hAnsi="Times New Roman" w:eastAsia="宋体"/>
          <w:szCs w:val="21"/>
          <w:lang w:val="en-US" w:eastAsia="zh-CN"/>
        </w:rPr>
      </w:pPr>
      <w:r>
        <w:rPr>
          <w:rFonts w:hint="default" w:ascii="Times New Roman" w:hAnsi="Times New Roman" w:eastAsia="宋体"/>
          <w:szCs w:val="21"/>
          <w:lang w:val="en-US" w:eastAsia="zh-CN"/>
        </w:rPr>
        <w:t>本文</w:t>
      </w:r>
      <w:r>
        <w:rPr>
          <w:rFonts w:hint="eastAsia" w:ascii="Times New Roman" w:hAnsi="Times New Roman" w:eastAsia="宋体"/>
          <w:szCs w:val="21"/>
          <w:lang w:val="en-US" w:eastAsia="zh-CN"/>
        </w:rPr>
        <w:t>从福州市社会保障数据治理现存问题</w:t>
      </w:r>
      <w:r>
        <w:rPr>
          <w:rFonts w:hint="default" w:ascii="Times New Roman" w:hAnsi="Times New Roman" w:eastAsia="宋体"/>
          <w:szCs w:val="21"/>
          <w:lang w:val="en-US" w:eastAsia="zh-CN"/>
        </w:rPr>
        <w:t>入手，</w:t>
      </w:r>
      <w:r>
        <w:rPr>
          <w:rFonts w:hint="eastAsia" w:ascii="Times New Roman" w:hAnsi="Times New Roman" w:eastAsia="宋体"/>
          <w:szCs w:val="21"/>
          <w:lang w:val="en-US" w:eastAsia="zh-CN"/>
        </w:rPr>
        <w:t>结合平衡记分卡评估结果，</w:t>
      </w:r>
      <w:r>
        <w:rPr>
          <w:rFonts w:hint="default" w:ascii="Times New Roman" w:hAnsi="Times New Roman" w:eastAsia="宋体"/>
          <w:szCs w:val="21"/>
          <w:lang w:val="en-US" w:eastAsia="zh-CN"/>
        </w:rPr>
        <w:t>多项举措并行</w:t>
      </w:r>
      <w:r>
        <w:rPr>
          <w:rFonts w:hint="eastAsia" w:ascii="Times New Roman" w:hAnsi="Times New Roman" w:eastAsia="宋体"/>
          <w:szCs w:val="21"/>
          <w:lang w:val="en-US" w:eastAsia="zh-CN"/>
        </w:rPr>
        <w:t>，优化社会保障数据治理。</w:t>
      </w:r>
      <w:r>
        <w:rPr>
          <w:rFonts w:hint="default" w:ascii="Times New Roman" w:hAnsi="Times New Roman" w:eastAsia="宋体"/>
          <w:szCs w:val="21"/>
          <w:lang w:val="en-US" w:eastAsia="zh-CN"/>
        </w:rPr>
        <w:t>通过搭建社会保障统一业务数据平台，实现</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五险合一</w:t>
      </w:r>
      <w:r>
        <w:rPr>
          <w:rFonts w:hint="eastAsia" w:ascii="Times New Roman" w:hAnsi="Times New Roman" w:eastAsia="宋体"/>
          <w:szCs w:val="21"/>
          <w:lang w:val="en-US" w:eastAsia="zh-CN"/>
        </w:rPr>
        <w:t>”</w:t>
      </w:r>
      <w:r>
        <w:rPr>
          <w:rFonts w:hint="default" w:ascii="Times New Roman" w:hAnsi="Times New Roman" w:eastAsia="宋体"/>
          <w:szCs w:val="21"/>
          <w:lang w:val="en-US" w:eastAsia="zh-CN"/>
        </w:rPr>
        <w:t>，加强数据共享和提高数据更新频率，统一规范业务术语和关键字段，来加强各部门间的数据交互率；机构内设内控科，负责与其他部门进行数据核查比对，做好事前监督、事中防控、事后监督工作；加强数据治理人才队伍的多层次建设，增加专业人员，组织技术培训和业务</w:t>
      </w:r>
      <w:r>
        <w:rPr>
          <w:rFonts w:hint="eastAsia" w:ascii="Times New Roman" w:hAnsi="Times New Roman" w:eastAsia="宋体"/>
          <w:szCs w:val="21"/>
          <w:lang w:val="en-US" w:eastAsia="zh-CN"/>
        </w:rPr>
        <w:t>学习</w:t>
      </w:r>
      <w:r>
        <w:rPr>
          <w:rFonts w:hint="default" w:ascii="Times New Roman" w:hAnsi="Times New Roman" w:eastAsia="宋体"/>
          <w:szCs w:val="21"/>
          <w:lang w:val="en-US" w:eastAsia="zh-CN"/>
        </w:rPr>
        <w:t>，为数据治理提供技术保障；增加政策宣传渠道，加强政策宣传力度，提高政策执行力，注重群众满意度；增加养老保险待遇领取资格认证线上认证渠道和方式，通过数据比对方式，让数据跑腿，协助群众完成每年一次的认证工作。</w:t>
      </w:r>
    </w:p>
    <w:p>
      <w:pPr>
        <w:ind w:firstLine="420" w:firstLineChars="200"/>
        <w:rPr>
          <w:rFonts w:hint="default" w:ascii="Times New Roman" w:hAnsi="Times New Roman" w:eastAsia="宋体"/>
          <w:szCs w:val="21"/>
          <w:lang w:val="en-US" w:eastAsia="zh-CN"/>
        </w:rPr>
      </w:pPr>
      <w:r>
        <w:rPr>
          <w:rFonts w:hint="default" w:ascii="Times New Roman" w:hAnsi="Times New Roman" w:eastAsia="宋体"/>
          <w:szCs w:val="21"/>
          <w:lang w:val="en-US" w:eastAsia="zh-CN"/>
        </w:rPr>
        <w:t>通过上述优化对策，促进福州市社会保障数据治理高质量发展，提升政府政务服务能力。</w:t>
      </w:r>
    </w:p>
    <w:p>
      <w:pPr>
        <w:ind w:firstLine="602" w:firstLineChars="200"/>
        <w:rPr>
          <w:rFonts w:hint="eastAsia" w:ascii="Times New Roman" w:hAnsi="Times New Roman" w:eastAsia="宋体"/>
          <w:b/>
          <w:bCs/>
          <w:sz w:val="30"/>
          <w:szCs w:val="30"/>
          <w:lang w:eastAsia="zh-CN"/>
        </w:rPr>
      </w:pPr>
      <w:r>
        <w:rPr>
          <w:rFonts w:hint="eastAsia" w:ascii="Times New Roman" w:hAnsi="Times New Roman" w:eastAsia="宋体"/>
          <w:b/>
          <w:bCs/>
          <w:sz w:val="30"/>
          <w:szCs w:val="30"/>
        </w:rPr>
        <w:t>参考文献</w:t>
      </w:r>
      <w:r>
        <w:rPr>
          <w:rFonts w:hint="eastAsia" w:ascii="Times New Roman" w:hAnsi="Times New Roman" w:eastAsia="宋体"/>
          <w:b/>
          <w:bCs/>
          <w:sz w:val="30"/>
          <w:szCs w:val="30"/>
          <w:lang w:eastAsia="zh-CN"/>
        </w:rPr>
        <w:t>：</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[1]徐望来,刘湘洪,付景涛,郑崇明.基于平衡计分卡的社会救助绩效评估指标体系设计[J].海南热带海洋学院学报,2017,24(3):59-65.</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[2]完善覆盖全民的社会保障体系——促进社会保障事业高质量发展可持续发展[N].人民日报，2021.02.28（1）</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[3]刘银喜,赵淼.公共价值创造：数字政府治理研究新视角——理论框架与路径选择[J].电子政务,2022(2):65-74.</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[4]李晨柳,韩文蕾.政府信息共享法律保障的现状[J].法制与社会,2020(33):105-106.</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[5]李国玉.大数据时代背景下社保信息共享建设问题分析[J].财会学习,2018(2):180.</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[6]吴信东,董丙冰,堵新政,杨威.数据治理技术[J].软件学报,2019,30(9):2830-2856.</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[7]王山.大数据时代中国政府治理能力建设与公共治理创新[J].求实,2017(1):51-57.</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[8]杨琳,高洪美,宋俊典,张绍华.大数据环境下的数据治理框架研究及应用[J].计算机应用与软件,2017,34(4):65-69.</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[9]范灵俊,洪学海,黄晁,华岗,李国杰.政府大数据治理的挑战及对策[J].大数据,2016,2(03):27-38.</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[10]詹雨薇.基于大数据视角下的当代地方政府治理方式——以福州市地方政府为例[J].现代企业,2020(11):120-121.</w:t>
      </w:r>
    </w:p>
    <w:p>
      <w:pPr>
        <w:ind w:firstLine="360" w:firstLineChars="200"/>
        <w:rPr>
          <w:rFonts w:hint="eastAsia" w:ascii="Times New Roman" w:hAnsi="Times New Roman" w:eastAsia="宋体"/>
          <w:sz w:val="18"/>
          <w:szCs w:val="18"/>
        </w:rPr>
      </w:pPr>
      <w:r>
        <w:rPr>
          <w:rFonts w:hint="eastAsia" w:ascii="Times New Roman" w:hAnsi="Times New Roman" w:eastAsia="宋体"/>
          <w:sz w:val="18"/>
          <w:szCs w:val="18"/>
        </w:rPr>
        <w:t>[11]林贤.大数据推进政府治理能力提升论析——以福州市政府的大数据实践为例[J].福建论坛(人文社会科学版),2018(7):152-158.</w:t>
      </w:r>
    </w:p>
    <w:p>
      <w:pPr>
        <w:ind w:firstLine="360" w:firstLineChars="200"/>
        <w:rPr>
          <w:rFonts w:ascii="Times New Roman" w:hAnsi="Times New Roman" w:eastAsia="宋体"/>
          <w:sz w:val="18"/>
          <w:szCs w:val="18"/>
        </w:rPr>
      </w:pPr>
      <w:r>
        <w:rPr>
          <w:rFonts w:hint="eastAsia" w:ascii="Times New Roman" w:hAnsi="Times New Roman" w:eastAsia="宋体"/>
          <w:sz w:val="18"/>
          <w:szCs w:val="18"/>
        </w:rPr>
        <w:t>[12]刘一玲.基于KPI的平衡计分卡在社会保障管理中的应用[J].鸡西大学学报,2009,9(4):112-114.</w:t>
      </w: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83" w:usb1="288F0000" w:usb2="0000000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4"/>
        <w:rPr>
          <w:rFonts w:hint="eastAsia" w:ascii="宋体" w:hAnsi="宋体" w:eastAsia="宋体"/>
          <w:sz w:val="21"/>
          <w:szCs w:val="21"/>
        </w:rPr>
      </w:pPr>
      <w:r>
        <w:rPr>
          <w:rStyle w:val="8"/>
          <w:rFonts w:ascii="宋体" w:hAnsi="宋体" w:eastAsia="宋体"/>
          <w:sz w:val="21"/>
          <w:szCs w:val="21"/>
          <w:vertAlign w:val="baseline"/>
        </w:rPr>
        <w:fldChar w:fldCharType="begin"/>
      </w:r>
      <w:r>
        <w:rPr>
          <w:rStyle w:val="8"/>
          <w:rFonts w:ascii="宋体" w:hAnsi="宋体" w:eastAsia="宋体"/>
          <w:sz w:val="21"/>
          <w:szCs w:val="21"/>
          <w:vertAlign w:val="baseline"/>
        </w:rPr>
        <w:instrText xml:space="preserve"> </w:instrText>
      </w:r>
      <w:r>
        <w:rPr>
          <w:rStyle w:val="8"/>
          <w:rFonts w:hint="eastAsia" w:ascii="宋体" w:hAnsi="宋体" w:eastAsia="宋体"/>
          <w:sz w:val="21"/>
          <w:szCs w:val="21"/>
          <w:vertAlign w:val="baseline"/>
        </w:rPr>
        <w:instrText xml:space="preserve">= 1 \* GB3</w:instrText>
      </w:r>
      <w:r>
        <w:rPr>
          <w:rStyle w:val="8"/>
          <w:rFonts w:ascii="宋体" w:hAnsi="宋体" w:eastAsia="宋体"/>
          <w:sz w:val="21"/>
          <w:szCs w:val="21"/>
          <w:vertAlign w:val="baseline"/>
        </w:rPr>
        <w:instrText xml:space="preserve"> </w:instrText>
      </w:r>
      <w:r>
        <w:rPr>
          <w:rStyle w:val="8"/>
          <w:rFonts w:ascii="宋体" w:hAnsi="宋体" w:eastAsia="宋体"/>
          <w:sz w:val="21"/>
          <w:szCs w:val="21"/>
          <w:vertAlign w:val="baseline"/>
        </w:rPr>
        <w:fldChar w:fldCharType="separate"/>
      </w:r>
      <w:r>
        <w:rPr>
          <w:rStyle w:val="8"/>
          <w:rFonts w:hint="eastAsia" w:ascii="宋体" w:hAnsi="宋体" w:eastAsia="宋体"/>
          <w:sz w:val="21"/>
          <w:szCs w:val="21"/>
          <w:vertAlign w:val="baseline"/>
        </w:rPr>
        <w:t>①</w:t>
      </w:r>
      <w:r>
        <w:rPr>
          <w:rStyle w:val="8"/>
          <w:rFonts w:ascii="宋体" w:hAnsi="宋体" w:eastAsia="宋体"/>
          <w:sz w:val="21"/>
          <w:szCs w:val="21"/>
          <w:vertAlign w:val="baseline"/>
        </w:rPr>
        <w:fldChar w:fldCharType="end"/>
      </w:r>
      <w:r>
        <w:rPr>
          <w:rFonts w:ascii="宋体" w:hAnsi="宋体" w:eastAsia="宋体"/>
          <w:sz w:val="21"/>
          <w:szCs w:val="21"/>
        </w:rPr>
        <w:t xml:space="preserve"> </w:t>
      </w:r>
      <w:r>
        <w:rPr>
          <w:rFonts w:hint="eastAsia" w:ascii="宋体" w:hAnsi="宋体" w:eastAsia="宋体"/>
          <w:sz w:val="21"/>
          <w:szCs w:val="21"/>
        </w:rPr>
        <w:t>本文系</w:t>
      </w:r>
      <w:r>
        <w:rPr>
          <w:rFonts w:hint="eastAsia" w:ascii="宋体" w:hAnsi="宋体" w:eastAsia="宋体" w:cs="宋体"/>
          <w:color w:val="000000"/>
          <w:sz w:val="21"/>
          <w:szCs w:val="21"/>
        </w:rPr>
        <w:t>201</w:t>
      </w:r>
      <w:r>
        <w:rPr>
          <w:rFonts w:ascii="宋体" w:hAnsi="宋体" w:eastAsia="宋体" w:cs="宋体"/>
          <w:color w:val="000000"/>
          <w:sz w:val="21"/>
          <w:szCs w:val="21"/>
        </w:rPr>
        <w:t>9</w:t>
      </w:r>
      <w:r>
        <w:rPr>
          <w:rFonts w:hint="eastAsia" w:ascii="宋体" w:hAnsi="宋体" w:eastAsia="宋体" w:cs="宋体"/>
          <w:color w:val="000000"/>
          <w:sz w:val="21"/>
          <w:szCs w:val="21"/>
        </w:rPr>
        <w:t>年度福建省中青年教师科研项目（信息化专项）“</w:t>
      </w:r>
      <w:r>
        <w:rPr>
          <w:rFonts w:hint="eastAsia" w:ascii="宋体" w:hAnsi="宋体" w:eastAsia="宋体"/>
          <w:sz w:val="21"/>
          <w:szCs w:val="21"/>
        </w:rPr>
        <w:t>大数据治理模式及其绩效评估”（</w:t>
      </w:r>
      <w:r>
        <w:rPr>
          <w:rFonts w:hint="eastAsia" w:ascii="宋体" w:hAnsi="宋体" w:eastAsia="宋体" w:cs="宋体"/>
          <w:color w:val="000000"/>
          <w:sz w:val="21"/>
          <w:szCs w:val="21"/>
        </w:rPr>
        <w:t>项目编号：</w:t>
      </w:r>
      <w:r>
        <w:rPr>
          <w:rFonts w:hint="eastAsia" w:ascii="宋体" w:hAnsi="宋体" w:eastAsia="宋体"/>
          <w:sz w:val="21"/>
          <w:szCs w:val="21"/>
        </w:rPr>
        <w:t>J</w:t>
      </w:r>
      <w:r>
        <w:rPr>
          <w:rFonts w:ascii="宋体" w:hAnsi="宋体" w:eastAsia="宋体"/>
          <w:sz w:val="21"/>
          <w:szCs w:val="21"/>
        </w:rPr>
        <w:t>AT191918</w:t>
      </w:r>
      <w:r>
        <w:rPr>
          <w:rFonts w:hint="eastAsia" w:ascii="宋体" w:hAnsi="宋体" w:eastAsia="宋体"/>
          <w:sz w:val="21"/>
          <w:szCs w:val="21"/>
        </w:rPr>
        <w:t>）的研究成果之一</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24F8781"/>
    <w:multiLevelType w:val="singleLevel"/>
    <w:tmpl w:val="624F8781"/>
    <w:lvl w:ilvl="0" w:tentative="0">
      <w:start w:val="1"/>
      <w:numFmt w:val="bullet"/>
      <w:pStyle w:val="3"/>
      <w:lvlText w:val=""/>
      <w:lvlJc w:val="left"/>
      <w:pPr>
        <w:tabs>
          <w:tab w:val="left" w:pos="360"/>
        </w:tabs>
        <w:ind w:left="36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FC38B4"/>
    <w:rsid w:val="044804BD"/>
    <w:rsid w:val="05826FF3"/>
    <w:rsid w:val="06567E95"/>
    <w:rsid w:val="08DD0BFF"/>
    <w:rsid w:val="0A061848"/>
    <w:rsid w:val="0C343B8F"/>
    <w:rsid w:val="0FB6066F"/>
    <w:rsid w:val="13054A38"/>
    <w:rsid w:val="131D77ED"/>
    <w:rsid w:val="15791BB3"/>
    <w:rsid w:val="16E74819"/>
    <w:rsid w:val="1A851DF8"/>
    <w:rsid w:val="1B2868C4"/>
    <w:rsid w:val="1B325952"/>
    <w:rsid w:val="1D6F5BFF"/>
    <w:rsid w:val="1EB651AE"/>
    <w:rsid w:val="1F0D6195"/>
    <w:rsid w:val="2252699D"/>
    <w:rsid w:val="226A6809"/>
    <w:rsid w:val="23765646"/>
    <w:rsid w:val="24EF4C36"/>
    <w:rsid w:val="254F17FC"/>
    <w:rsid w:val="257562D3"/>
    <w:rsid w:val="25BD4D5D"/>
    <w:rsid w:val="26410031"/>
    <w:rsid w:val="27CD01F8"/>
    <w:rsid w:val="28A62B8A"/>
    <w:rsid w:val="2B966C6C"/>
    <w:rsid w:val="2C175B64"/>
    <w:rsid w:val="2DF5652F"/>
    <w:rsid w:val="39301F16"/>
    <w:rsid w:val="3946010D"/>
    <w:rsid w:val="395D34CD"/>
    <w:rsid w:val="3A300A48"/>
    <w:rsid w:val="3B1B363F"/>
    <w:rsid w:val="3BFC0C58"/>
    <w:rsid w:val="3CF94554"/>
    <w:rsid w:val="3D0262D4"/>
    <w:rsid w:val="3EDA262F"/>
    <w:rsid w:val="3F5A7492"/>
    <w:rsid w:val="44242EA8"/>
    <w:rsid w:val="443B2F36"/>
    <w:rsid w:val="46A21315"/>
    <w:rsid w:val="48E53428"/>
    <w:rsid w:val="48F20962"/>
    <w:rsid w:val="4E922F42"/>
    <w:rsid w:val="4F7A62C5"/>
    <w:rsid w:val="510B6AE3"/>
    <w:rsid w:val="517757C2"/>
    <w:rsid w:val="55D238C0"/>
    <w:rsid w:val="5711147B"/>
    <w:rsid w:val="5A335C24"/>
    <w:rsid w:val="5AB245FD"/>
    <w:rsid w:val="5BED728F"/>
    <w:rsid w:val="5D8C056F"/>
    <w:rsid w:val="5DD46E27"/>
    <w:rsid w:val="5EEE1289"/>
    <w:rsid w:val="5EEF25A1"/>
    <w:rsid w:val="60922BC2"/>
    <w:rsid w:val="61754040"/>
    <w:rsid w:val="627E4C50"/>
    <w:rsid w:val="6330261C"/>
    <w:rsid w:val="646B3D13"/>
    <w:rsid w:val="67667719"/>
    <w:rsid w:val="67CF5047"/>
    <w:rsid w:val="68296523"/>
    <w:rsid w:val="6A451717"/>
    <w:rsid w:val="6AE21E3A"/>
    <w:rsid w:val="6DC536D3"/>
    <w:rsid w:val="700C7EB2"/>
    <w:rsid w:val="71656EFE"/>
    <w:rsid w:val="71F20CFC"/>
    <w:rsid w:val="750C1C5E"/>
    <w:rsid w:val="75FC38B4"/>
    <w:rsid w:val="798F52AB"/>
    <w:rsid w:val="7AFE38C5"/>
    <w:rsid w:val="7B184602"/>
    <w:rsid w:val="7BF70C64"/>
    <w:rsid w:val="7CB60617"/>
    <w:rsid w:val="7D750C9D"/>
    <w:rsid w:val="7E7C68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qFormat="1"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9"/>
    <w:pPr>
      <w:keepNext/>
      <w:keepLines/>
      <w:spacing w:before="260" w:after="260" w:line="413" w:lineRule="auto"/>
      <w:outlineLvl w:val="1"/>
    </w:pPr>
    <w:rPr>
      <w:rFonts w:ascii="Arial" w:hAnsi="Arial" w:eastAsia="黑体"/>
      <w:b/>
      <w:sz w:val="32"/>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List Bullet"/>
    <w:basedOn w:val="1"/>
    <w:qFormat/>
    <w:uiPriority w:val="0"/>
    <w:pPr>
      <w:numPr>
        <w:ilvl w:val="0"/>
        <w:numId w:val="1"/>
      </w:numPr>
    </w:pPr>
  </w:style>
  <w:style w:type="paragraph" w:styleId="4">
    <w:name w:val="footnote text"/>
    <w:basedOn w:val="1"/>
    <w:unhideWhenUsed/>
    <w:qFormat/>
    <w:uiPriority w:val="99"/>
    <w:pPr>
      <w:snapToGrid w:val="0"/>
      <w:jc w:val="left"/>
    </w:pPr>
    <w:rPr>
      <w:sz w:val="18"/>
      <w:szCs w:val="18"/>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otnote reference"/>
    <w:basedOn w:val="7"/>
    <w:unhideWhenUsed/>
    <w:qFormat/>
    <w:uiPriority w:val="99"/>
    <w:rPr>
      <w:vertAlign w:val="superscript"/>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25</TotalTime>
  <ScaleCrop>false</ScaleCrop>
  <LinksUpToDate>false</LinksUpToDate>
  <CharactersWithSpaces>0</CharactersWithSpaces>
  <Application>WPS Office_11.1.0.11566_F1E327BC-269C-435d-A152-05C5408002CA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2022-04-05T13:22:00Z</dcterms:created>
  <dc:creator>疯疯疯疯疯枫</dc:creator>
  <cp:lastModifiedBy>疯疯疯疯疯枫</cp:lastModifiedBy>
  <dcterms:modified xsi:type="dcterms:W3CDTF">2022-04-09T15:36:39Z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2052-11.1.0.11566</vt:lpwstr>
  </property>
  <property fmtid="{D5CDD505-2E9C-101B-9397-08002B2CF9AE}" pid="3" name="ICV">
    <vt:lpwstr>A07DE56D7AB343A989FB468DDAE905FA</vt:lpwstr>
  </property>
</Properties>
</file>