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right"/>
        <w:rPr>
          <w:rFonts w:ascii="宋体" w:hAnsi="宋体" w:cs="宋体"/>
          <w:szCs w:val="21"/>
        </w:rPr>
      </w:pPr>
      <w:bookmarkStart w:id="1" w:name="_GoBack"/>
      <w:bookmarkEnd w:id="1"/>
      <w:r>
        <w:rPr>
          <w:rFonts w:hint="eastAsia" w:ascii="宋体" w:hAnsi="宋体" w:cs="宋体"/>
          <w:b/>
          <w:bCs/>
          <w:sz w:val="44"/>
          <w:szCs w:val="44"/>
        </w:rPr>
        <w:t>基于区块链技术的外贸供应链风险评价与规避新模式研究</w:t>
      </w:r>
      <w:r>
        <w:rPr>
          <w:b/>
          <w:bCs/>
          <w:sz w:val="44"/>
          <w:szCs w:val="44"/>
          <w:vertAlign w:val="superscript"/>
        </w:rPr>
        <w:t>①</w:t>
      </w:r>
    </w:p>
    <w:p>
      <w:pPr>
        <w:ind w:firstLine="210" w:firstLineChars="100"/>
        <w:jc w:val="center"/>
        <w:rPr>
          <w:rFonts w:hint="eastAsia" w:ascii="宋体" w:hAnsi="宋体" w:cs="宋体"/>
          <w:szCs w:val="21"/>
        </w:rPr>
      </w:pPr>
    </w:p>
    <w:p>
      <w:pPr>
        <w:ind w:firstLine="210" w:firstLineChars="100"/>
        <w:jc w:val="center"/>
        <w:rPr>
          <w:rFonts w:ascii="宋体" w:hAnsi="宋体" w:cs="宋体"/>
          <w:szCs w:val="21"/>
        </w:rPr>
      </w:pPr>
      <w:r>
        <w:rPr>
          <w:rFonts w:hint="eastAsia" w:ascii="宋体" w:hAnsi="宋体" w:cs="宋体"/>
          <w:szCs w:val="21"/>
        </w:rPr>
        <w:t>范娥娟 黄文秀 施云清</w:t>
      </w:r>
    </w:p>
    <w:p>
      <w:pPr>
        <w:ind w:firstLine="210" w:firstLineChars="100"/>
        <w:jc w:val="center"/>
        <w:rPr>
          <w:rFonts w:ascii="宋体" w:hAnsi="宋体" w:cs="宋体"/>
          <w:szCs w:val="21"/>
        </w:rPr>
      </w:pPr>
      <w:r>
        <w:rPr>
          <w:rFonts w:hint="eastAsia" w:ascii="宋体" w:hAnsi="宋体" w:cs="宋体"/>
          <w:szCs w:val="21"/>
        </w:rPr>
        <w:t xml:space="preserve">（福州工商学院  福建福州 </w:t>
      </w:r>
      <w:r>
        <w:rPr>
          <w:szCs w:val="21"/>
        </w:rPr>
        <w:t>350</w:t>
      </w:r>
      <w:r>
        <w:rPr>
          <w:rFonts w:hint="eastAsia"/>
          <w:szCs w:val="21"/>
        </w:rPr>
        <w:t>715</w:t>
      </w:r>
      <w:r>
        <w:rPr>
          <w:rFonts w:hint="eastAsia" w:ascii="宋体" w:hAnsi="宋体" w:cs="宋体"/>
          <w:szCs w:val="21"/>
        </w:rPr>
        <w:t>）</w:t>
      </w:r>
    </w:p>
    <w:p>
      <w:pPr>
        <w:jc w:val="left"/>
        <w:rPr>
          <w:rFonts w:hint="eastAsia" w:ascii="宋体" w:hAnsi="宋体" w:cs="宋体"/>
          <w:b/>
          <w:bCs/>
          <w:szCs w:val="21"/>
        </w:rPr>
      </w:pPr>
    </w:p>
    <w:p>
      <w:pPr>
        <w:jc w:val="left"/>
        <w:rPr>
          <w:rFonts w:ascii="宋体" w:hAnsi="宋体" w:cs="宋体"/>
          <w:szCs w:val="21"/>
          <w:shd w:val="clear" w:color="auto" w:fill="FFFFFF"/>
        </w:rPr>
      </w:pPr>
      <w:r>
        <w:rPr>
          <w:rFonts w:hint="eastAsia" w:ascii="宋体" w:hAnsi="宋体" w:cs="宋体"/>
          <w:b/>
          <w:bCs/>
          <w:szCs w:val="21"/>
        </w:rPr>
        <w:t xml:space="preserve">摘要[目的] </w:t>
      </w:r>
      <w:r>
        <w:rPr>
          <w:rStyle w:val="13"/>
          <w:rFonts w:hint="eastAsia" w:ascii="宋体" w:hAnsi="宋体" w:cs="宋体"/>
          <w:i w:val="0"/>
          <w:iCs w:val="0"/>
          <w:szCs w:val="21"/>
          <w:shd w:val="clear" w:color="auto" w:fill="FFFFFF"/>
        </w:rPr>
        <w:t>探索“区块链+外贸”新模式，提升国际贸易中供应链上下游企业抵抗风险的柔性能力。</w:t>
      </w:r>
      <w:r>
        <w:rPr>
          <w:rFonts w:hint="eastAsia" w:ascii="宋体" w:hAnsi="宋体" w:cs="宋体"/>
          <w:b/>
          <w:bCs/>
          <w:szCs w:val="21"/>
        </w:rPr>
        <w:t>[方法]</w:t>
      </w:r>
      <w:r>
        <w:rPr>
          <w:rFonts w:hint="eastAsia" w:ascii="宋体" w:hAnsi="宋体" w:cs="宋体"/>
          <w:szCs w:val="21"/>
        </w:rPr>
        <w:t>调查分析后确定影响供应链风险的主要因素；基于</w:t>
      </w:r>
      <w:r>
        <w:rPr>
          <w:rStyle w:val="13"/>
          <w:i w:val="0"/>
          <w:iCs w:val="0"/>
          <w:szCs w:val="21"/>
          <w:shd w:val="clear" w:color="auto" w:fill="FFFFFF"/>
        </w:rPr>
        <w:t>DEMATE</w:t>
      </w:r>
      <w:r>
        <w:rPr>
          <w:rStyle w:val="13"/>
          <w:rFonts w:hint="eastAsia"/>
          <w:i w:val="0"/>
          <w:iCs w:val="0"/>
          <w:szCs w:val="21"/>
          <w:shd w:val="clear" w:color="auto" w:fill="FFFFFF"/>
        </w:rPr>
        <w:t>L模型计算出各风险影响因素的度量标准值；统计风险发生概率和风险发生频率；最终计算出外贸供应链风险值。</w:t>
      </w:r>
      <w:r>
        <w:rPr>
          <w:rFonts w:hint="eastAsia" w:ascii="宋体" w:hAnsi="宋体" w:cs="宋体"/>
          <w:b/>
          <w:bCs/>
          <w:szCs w:val="21"/>
        </w:rPr>
        <w:t>[结果]</w:t>
      </w:r>
      <w:r>
        <w:rPr>
          <w:rFonts w:hint="eastAsia" w:ascii="宋体" w:hAnsi="宋体" w:cs="宋体"/>
          <w:szCs w:val="21"/>
        </w:rPr>
        <w:t>研究表明</w:t>
      </w:r>
      <w:r>
        <w:rPr>
          <w:rFonts w:hint="eastAsia" w:ascii="宋体" w:hAnsi="宋体" w:cs="宋体"/>
          <w:szCs w:val="21"/>
          <w:shd w:val="clear" w:color="auto" w:fill="FFFFFF"/>
        </w:rPr>
        <w:t>资金短缺、运作成本、延期交付、客户流失等主要因素对外贸供应链风险影响较大。</w:t>
      </w:r>
      <w:r>
        <w:rPr>
          <w:rFonts w:hint="eastAsia" w:ascii="宋体" w:hAnsi="宋体" w:cs="宋体"/>
          <w:b/>
          <w:bCs/>
          <w:szCs w:val="21"/>
        </w:rPr>
        <w:t>[局限]</w:t>
      </w:r>
      <w:r>
        <w:rPr>
          <w:rFonts w:hint="eastAsia" w:ascii="宋体" w:hAnsi="宋体" w:cs="宋体"/>
          <w:szCs w:val="21"/>
          <w:shd w:val="clear" w:color="auto" w:fill="FFFFFF"/>
        </w:rPr>
        <w:t>“区块链+”征信、客户服务、物联网</w:t>
      </w:r>
      <w:r>
        <w:rPr>
          <w:rFonts w:hint="eastAsia" w:ascii="宋体" w:hAnsi="宋体" w:cs="宋体"/>
          <w:szCs w:val="21"/>
          <w:shd w:val="clear" w:color="auto" w:fill="FFFFFF"/>
          <w:lang w:eastAsia="zh-CN"/>
        </w:rPr>
        <w:t>、</w:t>
      </w:r>
      <w:r>
        <w:rPr>
          <w:rFonts w:hint="eastAsia" w:ascii="宋体" w:hAnsi="宋体" w:cs="宋体"/>
          <w:szCs w:val="21"/>
          <w:shd w:val="clear" w:color="auto" w:fill="FFFFFF"/>
          <w:lang w:val="en-US" w:eastAsia="zh-CN"/>
        </w:rPr>
        <w:t>社交电商及</w:t>
      </w:r>
      <w:r>
        <w:rPr>
          <w:rFonts w:hint="eastAsia" w:ascii="宋体" w:hAnsi="宋体" w:cs="宋体"/>
          <w:szCs w:val="21"/>
          <w:shd w:val="clear" w:color="auto" w:fill="FFFFFF"/>
          <w:lang w:eastAsia="zh-CN"/>
        </w:rPr>
        <w:t>风险管控</w:t>
      </w:r>
      <w:r>
        <w:rPr>
          <w:rFonts w:hint="eastAsia" w:ascii="宋体" w:hAnsi="宋体" w:cs="宋体"/>
          <w:szCs w:val="21"/>
          <w:shd w:val="clear" w:color="auto" w:fill="FFFFFF"/>
        </w:rPr>
        <w:t>等新模式有待于实际应用研究。</w:t>
      </w:r>
      <w:r>
        <w:rPr>
          <w:rFonts w:hint="eastAsia" w:ascii="宋体" w:hAnsi="宋体" w:cs="宋体"/>
          <w:b/>
          <w:bCs/>
          <w:szCs w:val="21"/>
        </w:rPr>
        <w:t>[结论]</w:t>
      </w:r>
      <w:r>
        <w:rPr>
          <w:rFonts w:hint="eastAsia" w:ascii="宋体" w:hAnsi="宋体" w:cs="宋体"/>
          <w:szCs w:val="21"/>
          <w:shd w:val="clear" w:color="auto" w:fill="FFFFFF"/>
        </w:rPr>
        <w:t>应用“区块链+”新模式能有效规避外贸供应链风险。</w:t>
      </w:r>
    </w:p>
    <w:p>
      <w:pPr>
        <w:jc w:val="left"/>
        <w:rPr>
          <w:rStyle w:val="13"/>
          <w:i w:val="0"/>
          <w:iCs w:val="0"/>
          <w:szCs w:val="21"/>
          <w:shd w:val="clear" w:color="auto" w:fill="FFFFFF"/>
        </w:rPr>
      </w:pPr>
      <w:r>
        <w:rPr>
          <w:rStyle w:val="13"/>
          <w:rFonts w:hint="eastAsia"/>
          <w:b/>
          <w:bCs/>
          <w:i w:val="0"/>
          <w:iCs w:val="0"/>
          <w:szCs w:val="21"/>
          <w:shd w:val="clear" w:color="auto" w:fill="FFFFFF"/>
        </w:rPr>
        <w:t xml:space="preserve">关键词 </w:t>
      </w:r>
      <w:r>
        <w:rPr>
          <w:rStyle w:val="13"/>
          <w:rFonts w:hint="eastAsia"/>
          <w:i w:val="0"/>
          <w:iCs w:val="0"/>
          <w:szCs w:val="21"/>
          <w:shd w:val="clear" w:color="auto" w:fill="FFFFFF"/>
        </w:rPr>
        <w:t>区块链；DEMATEL模型；外贸；供应链风险</w:t>
      </w:r>
    </w:p>
    <w:p>
      <w:pPr>
        <w:jc w:val="left"/>
        <w:rPr>
          <w:rStyle w:val="13"/>
          <w:rFonts w:hint="eastAsia"/>
          <w:i w:val="0"/>
          <w:iCs w:val="0"/>
          <w:szCs w:val="21"/>
          <w:shd w:val="clear" w:color="auto" w:fill="FFFFFF"/>
        </w:rPr>
      </w:pPr>
      <w:r>
        <w:rPr>
          <w:rStyle w:val="13"/>
          <w:rFonts w:hint="eastAsia"/>
          <w:i w:val="0"/>
          <w:iCs w:val="0"/>
          <w:szCs w:val="21"/>
          <w:shd w:val="clear" w:color="auto" w:fill="FFFFFF"/>
        </w:rPr>
        <w:t xml:space="preserve">中图分类号：TP399      </w:t>
      </w:r>
    </w:p>
    <w:p>
      <w:pPr>
        <w:jc w:val="left"/>
        <w:rPr>
          <w:rFonts w:eastAsia="微软雅黑"/>
          <w:b/>
          <w:bCs/>
          <w:color w:val="262626"/>
          <w:sz w:val="44"/>
          <w:szCs w:val="44"/>
        </w:rPr>
      </w:pPr>
      <w:r>
        <w:rPr>
          <w:rStyle w:val="13"/>
          <w:rFonts w:hint="eastAsia"/>
          <w:i w:val="0"/>
          <w:iCs w:val="0"/>
          <w:szCs w:val="21"/>
          <w:shd w:val="clear" w:color="auto" w:fill="FFFFFF"/>
        </w:rPr>
        <w:t xml:space="preserve">        </w:t>
      </w:r>
    </w:p>
    <w:p>
      <w:pPr>
        <w:rPr>
          <w:rFonts w:eastAsia="微软雅黑"/>
          <w:b/>
          <w:bCs/>
          <w:color w:val="262626"/>
          <w:sz w:val="44"/>
          <w:szCs w:val="44"/>
        </w:rPr>
      </w:pPr>
      <w:r>
        <w:rPr>
          <w:rFonts w:eastAsia="微软雅黑"/>
          <w:b/>
          <w:bCs/>
          <w:color w:val="262626"/>
          <w:sz w:val="44"/>
          <w:szCs w:val="44"/>
        </w:rPr>
        <w:t xml:space="preserve">Research on New Mode of Risk Assessment and Avoidance of Foreign Trade Supply Chain Based on Blockchain Technology </w:t>
      </w:r>
    </w:p>
    <w:p>
      <w:pPr>
        <w:jc w:val="center"/>
        <w:rPr>
          <w:rStyle w:val="13"/>
          <w:rFonts w:hint="eastAsia"/>
          <w:i w:val="0"/>
          <w:iCs w:val="0"/>
          <w:szCs w:val="21"/>
          <w:shd w:val="clear" w:color="auto" w:fill="FFFFFF"/>
        </w:rPr>
      </w:pPr>
    </w:p>
    <w:p>
      <w:pPr>
        <w:jc w:val="center"/>
        <w:rPr>
          <w:rStyle w:val="13"/>
          <w:i w:val="0"/>
          <w:iCs w:val="0"/>
          <w:szCs w:val="21"/>
          <w:shd w:val="clear" w:color="auto" w:fill="FFFFFF"/>
        </w:rPr>
      </w:pPr>
      <w:r>
        <w:rPr>
          <w:rStyle w:val="13"/>
          <w:rFonts w:hint="eastAsia"/>
          <w:i w:val="0"/>
          <w:iCs w:val="0"/>
          <w:szCs w:val="21"/>
          <w:shd w:val="clear" w:color="auto" w:fill="FFFFFF"/>
        </w:rPr>
        <w:t>Fan Ejuan  Huang Wenxiu  Shi Yunqing</w:t>
      </w:r>
    </w:p>
    <w:p>
      <w:pPr>
        <w:jc w:val="center"/>
        <w:rPr>
          <w:rFonts w:ascii="宋体" w:hAnsi="宋体" w:cs="宋体"/>
          <w:szCs w:val="21"/>
        </w:rPr>
      </w:pPr>
      <w:r>
        <w:rPr>
          <w:rStyle w:val="13"/>
          <w:rFonts w:hint="eastAsia"/>
          <w:i w:val="0"/>
          <w:iCs w:val="0"/>
          <w:szCs w:val="21"/>
          <w:shd w:val="clear" w:color="auto" w:fill="FFFFFF"/>
        </w:rPr>
        <w:t>(Fuzhou Technology and Business College, Fuzhou, Fujian, 350715 , China)</w:t>
      </w:r>
    </w:p>
    <w:p>
      <w:pPr>
        <w:widowControl/>
        <w:rPr>
          <w:b/>
          <w:bCs/>
          <w:szCs w:val="21"/>
        </w:rPr>
      </w:pPr>
    </w:p>
    <w:p>
      <w:pPr>
        <w:widowControl/>
        <w:rPr>
          <w:szCs w:val="21"/>
        </w:rPr>
      </w:pPr>
      <w:r>
        <w:rPr>
          <w:b/>
          <w:bCs/>
          <w:szCs w:val="21"/>
        </w:rPr>
        <w:t>Abstract</w:t>
      </w:r>
      <w:r>
        <w:rPr>
          <w:rFonts w:hint="eastAsia"/>
          <w:b/>
          <w:bCs/>
          <w:szCs w:val="21"/>
        </w:rPr>
        <w:t xml:space="preserve"> </w:t>
      </w:r>
      <w:r>
        <w:rPr>
          <w:rFonts w:eastAsia="方正兰亭刊宋_GBK"/>
          <w:color w:val="231F20"/>
          <w:kern w:val="0"/>
          <w:szCs w:val="21"/>
          <w:lang w:bidi="ar"/>
        </w:rPr>
        <w:t>[</w:t>
      </w:r>
      <w:r>
        <w:rPr>
          <w:rFonts w:eastAsia="方正兰亭刊宋_GBK"/>
          <w:b/>
          <w:bCs/>
          <w:color w:val="231F20"/>
          <w:kern w:val="0"/>
          <w:szCs w:val="21"/>
          <w:lang w:bidi="ar"/>
        </w:rPr>
        <w:t>Objective</w:t>
      </w:r>
      <w:r>
        <w:rPr>
          <w:rFonts w:eastAsia="方正兰亭刊宋_GBK"/>
          <w:color w:val="231F20"/>
          <w:kern w:val="0"/>
          <w:szCs w:val="21"/>
          <w:lang w:bidi="ar"/>
        </w:rPr>
        <w:t>]</w:t>
      </w:r>
      <w:r>
        <w:rPr>
          <w:rFonts w:hint="eastAsia" w:eastAsia="方正兰亭刊宋_GBK"/>
          <w:color w:val="231F20"/>
          <w:kern w:val="0"/>
          <w:szCs w:val="21"/>
          <w:lang w:bidi="ar"/>
        </w:rPr>
        <w:t xml:space="preserve"> </w:t>
      </w:r>
      <w:r>
        <w:rPr>
          <w:szCs w:val="21"/>
        </w:rPr>
        <w:t>In order to explore the new model of "</w:t>
      </w:r>
      <w:r>
        <w:rPr>
          <w:rFonts w:hint="eastAsia"/>
          <w:szCs w:val="21"/>
        </w:rPr>
        <w:t>B</w:t>
      </w:r>
      <w:r>
        <w:rPr>
          <w:szCs w:val="21"/>
        </w:rPr>
        <w:t xml:space="preserve">lockchain + foreign trade", </w:t>
      </w:r>
      <w:r>
        <w:rPr>
          <w:rFonts w:hint="eastAsia"/>
          <w:szCs w:val="21"/>
        </w:rPr>
        <w:t>and</w:t>
      </w:r>
      <w:r>
        <w:rPr>
          <w:szCs w:val="21"/>
        </w:rPr>
        <w:t xml:space="preserve"> enhance the flexible ability of upstream and downstream enterprises in the supply chain to resist risks in international trade.</w:t>
      </w:r>
      <w:r>
        <w:rPr>
          <w:rFonts w:eastAsia="方正兰亭刊宋_GBK"/>
          <w:color w:val="231F20"/>
          <w:kern w:val="0"/>
          <w:szCs w:val="21"/>
          <w:lang w:bidi="ar"/>
        </w:rPr>
        <w:t>[</w:t>
      </w:r>
      <w:r>
        <w:rPr>
          <w:rFonts w:hint="eastAsia" w:eastAsia="方正兰亭刊宋_GBK"/>
          <w:b/>
          <w:bCs/>
          <w:color w:val="231F20"/>
          <w:kern w:val="0"/>
          <w:szCs w:val="21"/>
          <w:lang w:bidi="ar"/>
        </w:rPr>
        <w:t>Methods</w:t>
      </w:r>
      <w:r>
        <w:rPr>
          <w:rFonts w:eastAsia="方正兰亭刊宋_GBK"/>
          <w:color w:val="231F20"/>
          <w:kern w:val="0"/>
          <w:szCs w:val="21"/>
          <w:lang w:bidi="ar"/>
        </w:rPr>
        <w:t>]</w:t>
      </w:r>
      <w:r>
        <w:rPr>
          <w:rFonts w:hint="eastAsia" w:eastAsia="方正兰亭刊宋_GBK"/>
          <w:color w:val="231F20"/>
          <w:kern w:val="0"/>
          <w:szCs w:val="21"/>
          <w:lang w:bidi="ar"/>
        </w:rPr>
        <w:t>After investigation and analysis, the main factors affecting supply chain risk are deternined, and the measurement standard values of each risk influencing factor are calculated based on DEMATEL model. T</w:t>
      </w:r>
      <w:r>
        <w:rPr>
          <w:rFonts w:eastAsia="方正兰亭刊宋_GBK"/>
          <w:color w:val="231F20"/>
          <w:kern w:val="0"/>
          <w:szCs w:val="21"/>
          <w:lang w:bidi="ar"/>
        </w:rPr>
        <w:t>he probability and frequency of risk occurrence were analyzed. Finally calculate the value of risk of foreign trade supply chain.</w:t>
      </w:r>
      <w:r>
        <w:rPr>
          <w:rFonts w:hint="eastAsia" w:eastAsia="方正兰亭刊宋_GBK"/>
          <w:color w:val="231F20"/>
          <w:kern w:val="0"/>
          <w:szCs w:val="21"/>
          <w:lang w:bidi="ar"/>
        </w:rPr>
        <w:t>[</w:t>
      </w:r>
      <w:r>
        <w:rPr>
          <w:rFonts w:hint="eastAsia" w:eastAsia="方正兰亭刊宋_GBK"/>
          <w:b/>
          <w:bCs/>
          <w:color w:val="231F20"/>
          <w:kern w:val="0"/>
          <w:szCs w:val="21"/>
          <w:lang w:bidi="ar"/>
        </w:rPr>
        <w:t>Results</w:t>
      </w:r>
      <w:r>
        <w:rPr>
          <w:rFonts w:hint="eastAsia" w:eastAsia="方正兰亭刊宋_GBK"/>
          <w:color w:val="231F20"/>
          <w:kern w:val="0"/>
          <w:szCs w:val="21"/>
          <w:lang w:bidi="ar"/>
        </w:rPr>
        <w:t>]Research shows that capital shortage, operation cost, delayed delivery, customer loss and other main factors have a great impact on the risk of foreign trade supply chain.[</w:t>
      </w:r>
      <w:r>
        <w:rPr>
          <w:rFonts w:hint="eastAsia" w:eastAsia="方正兰亭刊宋_GBK"/>
          <w:b/>
          <w:bCs/>
          <w:color w:val="231F20"/>
          <w:kern w:val="0"/>
          <w:szCs w:val="21"/>
          <w:lang w:bidi="ar"/>
        </w:rPr>
        <w:t>Limitation</w:t>
      </w:r>
      <w:r>
        <w:rPr>
          <w:rFonts w:hint="eastAsia" w:eastAsia="方正兰亭刊宋_GBK"/>
          <w:color w:val="231F20"/>
          <w:kern w:val="0"/>
          <w:szCs w:val="21"/>
          <w:lang w:bidi="ar"/>
        </w:rPr>
        <w:t xml:space="preserve">]New models such as "Blockchain +" credit investigation, customer service </w:t>
      </w:r>
      <w:r>
        <w:rPr>
          <w:rFonts w:hint="eastAsia" w:eastAsia="方正兰亭刊宋_GBK"/>
          <w:color w:val="231F20"/>
          <w:kern w:val="0"/>
          <w:szCs w:val="21"/>
          <w:lang w:val="en-US" w:eastAsia="zh-CN" w:bidi="ar"/>
        </w:rPr>
        <w:t xml:space="preserve">and </w:t>
      </w:r>
      <w:r>
        <w:rPr>
          <w:rFonts w:hint="eastAsia" w:eastAsia="方正兰亭刊宋_GBK"/>
          <w:color w:val="231F20"/>
          <w:kern w:val="0"/>
          <w:szCs w:val="21"/>
          <w:lang w:bidi="ar"/>
        </w:rPr>
        <w:t>the Internet of things</w:t>
      </w:r>
      <w:r>
        <w:rPr>
          <w:rFonts w:hint="eastAsia" w:eastAsia="方正兰亭刊宋_GBK"/>
          <w:color w:val="231F20"/>
          <w:kern w:val="0"/>
          <w:szCs w:val="21"/>
          <w:lang w:val="en-US" w:eastAsia="zh-CN" w:bidi="ar"/>
        </w:rPr>
        <w:t xml:space="preserve"> and</w:t>
      </w:r>
      <w:r>
        <w:rPr>
          <w:rFonts w:hint="default" w:ascii="Times New Roman" w:hAnsi="Times New Roman" w:eastAsia="方正兰亭刊宋_GBK" w:cs="Times New Roman"/>
          <w:color w:val="231F20"/>
          <w:kern w:val="0"/>
          <w:sz w:val="21"/>
          <w:szCs w:val="21"/>
          <w:lang w:val="en-US" w:eastAsia="zh-CN" w:bidi="ar"/>
        </w:rPr>
        <w:t xml:space="preserve"> </w:t>
      </w:r>
      <w:r>
        <w:rPr>
          <w:rFonts w:hint="default" w:ascii="Times New Roman" w:hAnsi="Times New Roman" w:eastAsia="宋体" w:cs="Times New Roman"/>
          <w:i w:val="0"/>
          <w:iCs w:val="0"/>
          <w:caps w:val="0"/>
          <w:color w:val="333333"/>
          <w:spacing w:val="0"/>
          <w:sz w:val="21"/>
          <w:szCs w:val="21"/>
          <w:shd w:val="clear" w:fill="FFFFFF"/>
        </w:rPr>
        <w:t>Social e-commerce</w:t>
      </w:r>
      <w:r>
        <w:rPr>
          <w:rFonts w:hint="default" w:ascii="Times New Roman" w:hAnsi="Times New Roman" w:cs="Times New Roman"/>
          <w:i w:val="0"/>
          <w:iCs w:val="0"/>
          <w:caps w:val="0"/>
          <w:color w:val="333333"/>
          <w:spacing w:val="0"/>
          <w:sz w:val="21"/>
          <w:szCs w:val="21"/>
          <w:shd w:val="clear" w:fill="FFFFFF"/>
          <w:lang w:val="en-US" w:eastAsia="zh-CN"/>
        </w:rPr>
        <w:t xml:space="preserve"> </w:t>
      </w:r>
      <w:r>
        <w:rPr>
          <w:rFonts w:hint="eastAsia" w:eastAsia="方正兰亭刊宋_GBK"/>
          <w:color w:val="231F20"/>
          <w:kern w:val="0"/>
          <w:szCs w:val="21"/>
          <w:lang w:val="en-US" w:eastAsia="zh-CN" w:bidi="ar"/>
        </w:rPr>
        <w:t>and risk management</w:t>
      </w:r>
      <w:r>
        <w:rPr>
          <w:rFonts w:hint="eastAsia" w:eastAsia="方正兰亭刊宋_GBK"/>
          <w:color w:val="231F20"/>
          <w:kern w:val="0"/>
          <w:szCs w:val="21"/>
          <w:lang w:bidi="ar"/>
        </w:rPr>
        <w:t xml:space="preserve"> need to be studied in practical application. [</w:t>
      </w:r>
      <w:r>
        <w:rPr>
          <w:rFonts w:hint="eastAsia" w:eastAsia="方正兰亭刊宋_GBK"/>
          <w:b/>
          <w:bCs/>
          <w:color w:val="231F20"/>
          <w:kern w:val="0"/>
          <w:szCs w:val="21"/>
          <w:lang w:bidi="ar"/>
        </w:rPr>
        <w:t>Conclusions</w:t>
      </w:r>
      <w:r>
        <w:rPr>
          <w:rFonts w:hint="eastAsia" w:eastAsia="方正兰亭刊宋_GBK"/>
          <w:color w:val="231F20"/>
          <w:kern w:val="0"/>
          <w:szCs w:val="21"/>
          <w:lang w:bidi="ar"/>
        </w:rPr>
        <w:t>]The application of the new model of "Blockchain +" can avoid effectively the risk of foreign trade supply chain .</w:t>
      </w:r>
    </w:p>
    <w:p>
      <w:pPr>
        <w:rPr>
          <w:rFonts w:ascii="宋体" w:hAnsi="宋体" w:cs="宋体"/>
          <w:b/>
          <w:bCs/>
          <w:sz w:val="30"/>
          <w:szCs w:val="30"/>
        </w:rPr>
      </w:pPr>
      <w:r>
        <w:rPr>
          <w:b/>
          <w:bCs/>
          <w:szCs w:val="21"/>
        </w:rPr>
        <w:t>Key words</w:t>
      </w:r>
      <w:r>
        <w:rPr>
          <w:szCs w:val="21"/>
        </w:rPr>
        <w:t xml:space="preserve"> Block </w:t>
      </w:r>
      <w:r>
        <w:rPr>
          <w:rFonts w:hint="eastAsia"/>
          <w:szCs w:val="21"/>
        </w:rPr>
        <w:t>C</w:t>
      </w:r>
      <w:r>
        <w:rPr>
          <w:szCs w:val="21"/>
        </w:rPr>
        <w:t>hain; DEM</w:t>
      </w:r>
      <w:r>
        <w:rPr>
          <w:rFonts w:hint="eastAsia"/>
          <w:szCs w:val="21"/>
        </w:rPr>
        <w:t>A</w:t>
      </w:r>
      <w:r>
        <w:rPr>
          <w:szCs w:val="21"/>
        </w:rPr>
        <w:t xml:space="preserve">TEL </w:t>
      </w:r>
      <w:r>
        <w:rPr>
          <w:rFonts w:hint="eastAsia"/>
          <w:szCs w:val="21"/>
        </w:rPr>
        <w:t>M</w:t>
      </w:r>
      <w:r>
        <w:rPr>
          <w:szCs w:val="21"/>
        </w:rPr>
        <w:t xml:space="preserve">odel; Foreign </w:t>
      </w:r>
      <w:r>
        <w:rPr>
          <w:rFonts w:hint="eastAsia"/>
          <w:szCs w:val="21"/>
        </w:rPr>
        <w:t>T</w:t>
      </w:r>
      <w:r>
        <w:rPr>
          <w:szCs w:val="21"/>
        </w:rPr>
        <w:t xml:space="preserve">rade; Supply </w:t>
      </w:r>
      <w:r>
        <w:rPr>
          <w:rFonts w:hint="eastAsia"/>
          <w:szCs w:val="21"/>
        </w:rPr>
        <w:t>C</w:t>
      </w:r>
      <w:r>
        <w:rPr>
          <w:szCs w:val="21"/>
        </w:rPr>
        <w:t xml:space="preserve">hain </w:t>
      </w:r>
      <w:r>
        <w:rPr>
          <w:rFonts w:hint="eastAsia"/>
          <w:szCs w:val="21"/>
        </w:rPr>
        <w:t>Ri</w:t>
      </w:r>
      <w:r>
        <w:rPr>
          <w:szCs w:val="21"/>
        </w:rPr>
        <w:t>sk</w:t>
      </w:r>
    </w:p>
    <w:p>
      <w:pPr>
        <w:spacing w:line="240" w:lineRule="auto"/>
        <w:rPr>
          <w:rFonts w:hint="eastAsia" w:ascii="宋体" w:hAnsi="宋体" w:cs="宋体"/>
          <w:b/>
          <w:bCs/>
          <w:sz w:val="30"/>
          <w:szCs w:val="30"/>
        </w:rPr>
      </w:pPr>
    </w:p>
    <w:p>
      <w:pPr>
        <w:spacing w:line="240" w:lineRule="auto"/>
        <w:rPr>
          <w:rFonts w:ascii="宋体" w:hAnsi="宋体" w:cs="宋体"/>
          <w:b/>
          <w:bCs/>
          <w:sz w:val="30"/>
          <w:szCs w:val="30"/>
        </w:rPr>
      </w:pPr>
      <w:r>
        <w:rPr>
          <w:rFonts w:hint="eastAsia" w:ascii="宋体" w:hAnsi="宋体" w:cs="宋体"/>
          <w:b/>
          <w:bCs/>
          <w:sz w:val="30"/>
          <w:szCs w:val="30"/>
        </w:rPr>
        <w:t>1引言</w:t>
      </w:r>
    </w:p>
    <w:p>
      <w:pPr>
        <w:ind w:firstLine="480" w:firstLineChars="200"/>
        <w:rPr>
          <w:rFonts w:ascii="宋体" w:hAnsi="宋体" w:cs="宋体"/>
          <w:sz w:val="24"/>
        </w:rPr>
      </w:pPr>
      <w:r>
        <w:rPr>
          <w:rFonts w:hint="eastAsia" w:ascii="宋体" w:hAnsi="宋体" w:cs="宋体"/>
          <w:sz w:val="24"/>
        </w:rPr>
        <w:t>《“十四五”国家信息化规划》中明确指出，全球经济正在加速数字化转型，信息技术不断更新换代及相互融合应用，促进各领域新业态、新商业模式的层出不穷。国际间的数字竞合应运产生，相关数字规则和核心技术生态环境的竞争白热化。供应链风险的防控和缓释研究成为信息化主攻方向之一，强化人工智能、区块链等新技术应用于安全动态风险评估，不断探索和完善新的技术治理标准和规则、商业新模式，助力全球数据跨境流动，各国大力发展新型的数字贸易，构建更加透明、开放、包容的世界贸易发展的新生态圈</w:t>
      </w:r>
      <w:r>
        <w:rPr>
          <w:szCs w:val="21"/>
          <w:vertAlign w:val="superscript"/>
        </w:rPr>
        <w:t>[1]</w:t>
      </w:r>
      <w:r>
        <w:rPr>
          <w:rFonts w:hint="eastAsia" w:ascii="宋体" w:hAnsi="宋体" w:cs="宋体"/>
          <w:sz w:val="24"/>
        </w:rPr>
        <w:t>。推进区块链核心技术共识机制、加密算法、智能合约等研究，积极开展区块链技术创新应用场景试点，促进跨境供应链中各节点多方协同和高效运转。</w:t>
      </w:r>
    </w:p>
    <w:p>
      <w:pPr>
        <w:ind w:firstLine="480" w:firstLineChars="200"/>
        <w:rPr>
          <w:rFonts w:ascii="宋体" w:hAnsi="宋体" w:cs="宋体"/>
          <w:sz w:val="24"/>
          <w:shd w:val="clear" w:color="auto" w:fill="FFFFFF"/>
        </w:rPr>
      </w:pPr>
      <w:r>
        <w:rPr>
          <w:rFonts w:hint="eastAsia" w:ascii="宋体" w:hAnsi="宋体" w:cs="宋体"/>
          <w:sz w:val="24"/>
        </w:rPr>
        <w:t>当前世界经济呈现低迷状态，中国四成以上外贸企业出现供应链中断风险，</w:t>
      </w:r>
      <w:r>
        <w:rPr>
          <w:rFonts w:hint="eastAsia" w:ascii="宋体" w:hAnsi="宋体" w:cs="宋体"/>
          <w:color w:val="000000"/>
          <w:sz w:val="24"/>
          <w:shd w:val="clear" w:color="auto" w:fill="FFFFFF"/>
        </w:rPr>
        <w:t>需求收缩、供给冲击、预期转弱。缺工缺柜，运营成本上升，</w:t>
      </w:r>
      <w:r>
        <w:rPr>
          <w:rFonts w:hint="eastAsia" w:ascii="宋体" w:hAnsi="宋体" w:cs="宋体"/>
          <w:sz w:val="24"/>
          <w:shd w:val="clear" w:color="auto" w:fill="FFFFFF"/>
        </w:rPr>
        <w:t>出入境和国际物流受阻，外贸需求和订单减少，原材料和元器件短缺，企业生产能力受限，产品</w:t>
      </w:r>
      <w:r>
        <w:rPr>
          <w:rFonts w:hint="eastAsia" w:ascii="宋体" w:hAnsi="宋体" w:cs="宋体"/>
          <w:sz w:val="24"/>
        </w:rPr>
        <w:t>库存增加，资金周转困难，报关手续管控升级等，这些供应链风险严重地制约外贸企业正常运营</w:t>
      </w:r>
      <w:r>
        <w:rPr>
          <w:szCs w:val="21"/>
          <w:vertAlign w:val="superscript"/>
        </w:rPr>
        <w:t>[</w:t>
      </w:r>
      <w:r>
        <w:rPr>
          <w:rFonts w:hint="eastAsia"/>
          <w:szCs w:val="21"/>
          <w:vertAlign w:val="superscript"/>
        </w:rPr>
        <w:t>2</w:t>
      </w:r>
      <w:r>
        <w:rPr>
          <w:szCs w:val="21"/>
          <w:vertAlign w:val="superscript"/>
        </w:rPr>
        <w:t>]</w:t>
      </w:r>
      <w:r>
        <w:rPr>
          <w:rFonts w:hint="eastAsia" w:ascii="宋体" w:hAnsi="宋体" w:cs="宋体"/>
          <w:sz w:val="24"/>
        </w:rPr>
        <w:t>。区块链技术广泛应用于国际贸易</w:t>
      </w:r>
      <w:r>
        <w:rPr>
          <w:rFonts w:hint="eastAsia" w:ascii="宋体" w:hAnsi="宋体" w:cs="宋体"/>
          <w:sz w:val="24"/>
          <w:shd w:val="clear" w:color="auto" w:fill="FFFFFF"/>
        </w:rPr>
        <w:t>中，能够加速跨境融资、便利口岸通关、商品跟踪溯源、减少中间环节、快速安全支付、增加企业互信等积极的作用</w:t>
      </w:r>
      <w:r>
        <w:rPr>
          <w:rFonts w:hint="default" w:ascii="Times New Roman" w:hAnsi="Times New Roman" w:eastAsia="宋体" w:cs="Times New Roman"/>
          <w:sz w:val="18"/>
          <w:szCs w:val="18"/>
          <w:vertAlign w:val="superscript"/>
        </w:rPr>
        <w:t>[</w:t>
      </w:r>
      <w:r>
        <w:rPr>
          <w:rFonts w:hint="default" w:ascii="Times New Roman" w:hAnsi="Times New Roman" w:eastAsia="宋体" w:cs="Times New Roman"/>
          <w:sz w:val="18"/>
          <w:szCs w:val="18"/>
          <w:vertAlign w:val="superscript"/>
          <w:lang w:val="en-US" w:eastAsia="zh-CN"/>
        </w:rPr>
        <w:t>3</w:t>
      </w:r>
      <w:r>
        <w:rPr>
          <w:rFonts w:hint="default" w:ascii="Times New Roman" w:hAnsi="Times New Roman" w:eastAsia="宋体" w:cs="Times New Roman"/>
          <w:sz w:val="18"/>
          <w:szCs w:val="18"/>
          <w:vertAlign w:val="superscript"/>
        </w:rPr>
        <w:t>]</w:t>
      </w:r>
      <w:r>
        <w:rPr>
          <w:rFonts w:hint="eastAsia" w:ascii="宋体" w:hAnsi="宋体" w:cs="宋体"/>
          <w:sz w:val="24"/>
          <w:shd w:val="clear" w:color="auto" w:fill="FFFFFF"/>
        </w:rPr>
        <w:t>。研究区块链技术在国际贸易中应用，</w:t>
      </w:r>
      <w:r>
        <w:rPr>
          <w:rFonts w:hint="eastAsia" w:ascii="宋体" w:hAnsi="宋体" w:cs="宋体"/>
          <w:sz w:val="24"/>
        </w:rPr>
        <w:t>提高外贸企业抵抗供应链风险的柔性能力，共同推动世界经济的复苏和繁荣</w:t>
      </w:r>
      <w:r>
        <w:rPr>
          <w:rFonts w:hint="eastAsia" w:ascii="宋体" w:hAnsi="宋体" w:cs="宋体"/>
          <w:sz w:val="24"/>
          <w:shd w:val="clear" w:color="auto" w:fill="FFFFFF"/>
        </w:rPr>
        <w:t>。</w:t>
      </w:r>
    </w:p>
    <w:p>
      <w:pPr>
        <w:spacing w:line="240" w:lineRule="auto"/>
        <w:rPr>
          <w:rFonts w:ascii="宋体" w:hAnsi="宋体" w:cs="宋体"/>
          <w:b/>
          <w:bCs/>
          <w:sz w:val="30"/>
          <w:szCs w:val="30"/>
          <w:shd w:val="clear" w:color="auto" w:fill="FFFFFF"/>
        </w:rPr>
      </w:pPr>
      <w:r>
        <w:rPr>
          <w:rFonts w:hint="eastAsia" w:ascii="宋体" w:hAnsi="宋体" w:cs="宋体"/>
          <w:b/>
          <w:bCs/>
          <w:sz w:val="30"/>
          <w:szCs w:val="30"/>
          <w:shd w:val="clear" w:color="auto" w:fill="FFFFFF"/>
        </w:rPr>
        <w:t>2理论基础</w:t>
      </w:r>
    </w:p>
    <w:p>
      <w:pPr>
        <w:spacing w:line="240" w:lineRule="auto"/>
        <w:rPr>
          <w:rFonts w:ascii="宋体" w:hAnsi="宋体" w:cs="宋体"/>
          <w:b/>
          <w:bCs/>
          <w:sz w:val="28"/>
          <w:szCs w:val="28"/>
          <w:shd w:val="clear" w:color="auto" w:fill="FFFFFF"/>
        </w:rPr>
      </w:pPr>
      <w:r>
        <w:rPr>
          <w:rFonts w:hint="eastAsia" w:ascii="宋体" w:hAnsi="宋体" w:cs="宋体"/>
          <w:b/>
          <w:bCs/>
          <w:sz w:val="28"/>
          <w:szCs w:val="28"/>
          <w:shd w:val="clear" w:color="auto" w:fill="FFFFFF"/>
        </w:rPr>
        <w:t>2.1区块链技术</w:t>
      </w:r>
    </w:p>
    <w:p>
      <w:pPr>
        <w:pStyle w:val="7"/>
        <w:widowControl/>
        <w:spacing w:beforeAutospacing="0" w:afterAutospacing="0"/>
        <w:ind w:firstLine="420"/>
        <w:rPr>
          <w:rFonts w:hint="default" w:ascii="宋体" w:hAnsi="宋体" w:eastAsia="宋体" w:cs="宋体"/>
          <w:lang w:val="en-US" w:eastAsia="zh-CN"/>
        </w:rPr>
      </w:pPr>
      <w:r>
        <w:rPr>
          <w:rFonts w:hint="eastAsia" w:ascii="宋体" w:hAnsi="宋体" w:cs="宋体"/>
        </w:rPr>
        <w:t>区块链技术（简称</w:t>
      </w:r>
      <w:r>
        <w:rPr>
          <w:color w:val="333333"/>
          <w:shd w:val="clear" w:color="auto" w:fill="FFFFFF"/>
        </w:rPr>
        <w:t>BT</w:t>
      </w:r>
      <w:r>
        <w:rPr>
          <w:rFonts w:hint="eastAsia" w:ascii="宋体" w:hAnsi="宋体" w:cs="宋体"/>
          <w:color w:val="333333"/>
          <w:shd w:val="clear" w:color="auto" w:fill="FFFFFF"/>
        </w:rPr>
        <w:t>），是一种基于</w:t>
      </w:r>
      <w:r>
        <w:rPr>
          <w:rFonts w:hint="eastAsia" w:ascii="宋体" w:hAnsi="宋体" w:cs="宋体"/>
          <w:color w:val="191919"/>
          <w:shd w:val="clear" w:color="auto" w:fill="FFFFFF"/>
        </w:rPr>
        <w:t>特有的块状链式、共识机制、密码学、智能合约等对数据进行存储、验证、更新、传输、访问、操作等的分布式账本。</w:t>
      </w:r>
      <w:bookmarkStart w:id="0" w:name="7904080-8178175-2"/>
      <w:bookmarkEnd w:id="0"/>
      <w:r>
        <w:rPr>
          <w:rFonts w:hint="eastAsia" w:ascii="微软雅黑" w:hAnsi="微软雅黑" w:eastAsia="微软雅黑" w:cs="微软雅黑"/>
          <w:sz w:val="0"/>
          <w:szCs w:val="0"/>
          <w:bdr w:val="single" w:color="37AB2F" w:sz="36" w:space="0"/>
          <w:shd w:val="clear" w:color="auto" w:fill="FFFFFF"/>
        </w:rPr>
        <w:fldChar w:fldCharType="begin"/>
      </w:r>
      <w:r>
        <w:rPr>
          <w:rFonts w:hint="eastAsia" w:ascii="微软雅黑" w:hAnsi="微软雅黑" w:eastAsia="微软雅黑" w:cs="微软雅黑"/>
          <w:sz w:val="0"/>
          <w:szCs w:val="0"/>
          <w:bdr w:val="single" w:color="37AB2F" w:sz="36" w:space="0"/>
          <w:shd w:val="clear" w:color="auto" w:fill="FFFFFF"/>
        </w:rPr>
        <w:instrText xml:space="preserve"> HYPERLINK "https://baike.so.com/doc/7904080-8178175.html" </w:instrText>
      </w:r>
      <w:r>
        <w:rPr>
          <w:rFonts w:hint="eastAsia" w:ascii="微软雅黑" w:hAnsi="微软雅黑" w:eastAsia="微软雅黑" w:cs="微软雅黑"/>
          <w:sz w:val="0"/>
          <w:szCs w:val="0"/>
          <w:bdr w:val="single" w:color="37AB2F" w:sz="36" w:space="0"/>
          <w:shd w:val="clear" w:color="auto" w:fill="FFFFFF"/>
        </w:rPr>
        <w:fldChar w:fldCharType="separate"/>
      </w:r>
      <w:r>
        <w:rPr>
          <w:rStyle w:val="14"/>
          <w:rFonts w:hint="eastAsia" w:ascii="微软雅黑" w:hAnsi="微软雅黑" w:eastAsia="微软雅黑" w:cs="微软雅黑"/>
          <w:sz w:val="0"/>
          <w:szCs w:val="0"/>
          <w:u w:val="none"/>
          <w:shd w:val="clear" w:color="auto" w:fill="FFFFFF"/>
        </w:rPr>
        <w:t>折叠</w:t>
      </w:r>
      <w:r>
        <w:rPr>
          <w:rFonts w:hint="eastAsia" w:ascii="微软雅黑" w:hAnsi="微软雅黑" w:eastAsia="微软雅黑" w:cs="微软雅黑"/>
          <w:sz w:val="0"/>
          <w:szCs w:val="0"/>
          <w:bdr w:val="single" w:color="37AB2F" w:sz="36" w:space="0"/>
          <w:shd w:val="clear" w:color="auto" w:fill="FFFFFF"/>
        </w:rPr>
        <w:fldChar w:fldCharType="end"/>
      </w:r>
      <w:r>
        <w:fldChar w:fldCharType="begin"/>
      </w:r>
      <w:r>
        <w:instrText xml:space="preserve"> HYPERLINK "https://baike.so.com/create/edit/?eid=7904080&amp;sid=8178175&amp;secid=2" </w:instrText>
      </w:r>
      <w:r>
        <w:fldChar w:fldCharType="separate"/>
      </w:r>
      <w:r>
        <w:fldChar w:fldCharType="end"/>
      </w:r>
      <w:r>
        <w:rPr>
          <w:rFonts w:hint="eastAsia" w:ascii="宋体" w:hAnsi="宋体" w:cs="宋体"/>
        </w:rPr>
        <w:t>区块链技术能够解决供应链中合作方的相互信任问题，不仅是颠覆性的技术创新，更是全球供应链中各方协作模式的创新。区块链技术具有防</w:t>
      </w:r>
      <w:r>
        <w:rPr>
          <w:rFonts w:hint="eastAsia" w:ascii="宋体" w:hAnsi="宋体" w:cs="宋体"/>
          <w:color w:val="000000" w:themeColor="text1"/>
          <w14:textFill>
            <w14:solidFill>
              <w14:schemeClr w14:val="tx1"/>
            </w14:solidFill>
          </w14:textFill>
        </w:rPr>
        <w:t>伪性、可追溯、公开性、永久性、留痕性、共同维护等特点</w:t>
      </w:r>
      <w:r>
        <w:rPr>
          <w:rFonts w:hint="eastAsia" w:ascii="宋体" w:hAnsi="宋体" w:cs="宋体"/>
        </w:rPr>
        <w:t>。区块链能够带来降本增效、数字溯源、资产管理、产品安全认证等的商业价值</w:t>
      </w:r>
      <w:r>
        <w:rPr>
          <w:sz w:val="21"/>
          <w:szCs w:val="21"/>
          <w:vertAlign w:val="superscript"/>
        </w:rPr>
        <w:t>[</w:t>
      </w:r>
      <w:r>
        <w:rPr>
          <w:rFonts w:hint="eastAsia"/>
          <w:sz w:val="21"/>
          <w:szCs w:val="21"/>
          <w:vertAlign w:val="superscript"/>
          <w:lang w:val="en-US" w:eastAsia="zh-CN"/>
        </w:rPr>
        <w:t>4</w:t>
      </w:r>
      <w:r>
        <w:rPr>
          <w:sz w:val="21"/>
          <w:szCs w:val="21"/>
          <w:vertAlign w:val="superscript"/>
        </w:rPr>
        <w:t>]</w:t>
      </w:r>
      <w:r>
        <w:rPr>
          <w:rFonts w:hint="eastAsia" w:ascii="宋体" w:hAnsi="宋体" w:cs="宋体"/>
        </w:rPr>
        <w:t>。</w:t>
      </w:r>
      <w:r>
        <w:rPr>
          <w:rFonts w:hint="eastAsia" w:ascii="宋体" w:hAnsi="宋体" w:cs="宋体"/>
          <w:shd w:val="clear" w:color="auto" w:fill="FFFFFF"/>
        </w:rPr>
        <w:t>未来区块链将同5G、人工智能、云计算、大数据、物联网、元宇宙等实现在</w:t>
      </w:r>
      <w:r>
        <w:rPr>
          <w:rFonts w:hint="eastAsia" w:ascii="宋体" w:hAnsi="宋体" w:cs="宋体"/>
        </w:rPr>
        <w:t>金融、物流、供应链、政务、产品溯源、电子商务等领域的集成应用。</w:t>
      </w:r>
      <w:r>
        <w:rPr>
          <w:rFonts w:hint="eastAsia" w:ascii="宋体" w:hAnsi="宋体" w:cs="宋体"/>
          <w:lang w:val="en-US" w:eastAsia="zh-CN"/>
        </w:rPr>
        <w:t>区块链技术的应用于国际贸易中，能够促进外贸供应链的整合，提高外贸企业的应对风险的柔性能力。</w:t>
      </w:r>
    </w:p>
    <w:p>
      <w:pPr>
        <w:spacing w:line="240" w:lineRule="auto"/>
        <w:rPr>
          <w:rFonts w:ascii="宋体" w:hAnsi="宋体" w:cs="宋体"/>
          <w:b/>
          <w:bCs/>
          <w:sz w:val="28"/>
          <w:szCs w:val="28"/>
        </w:rPr>
      </w:pPr>
      <w:r>
        <w:rPr>
          <w:rFonts w:hint="eastAsia" w:ascii="宋体" w:hAnsi="宋体" w:cs="宋体"/>
          <w:b/>
          <w:bCs/>
          <w:sz w:val="28"/>
          <w:szCs w:val="28"/>
        </w:rPr>
        <w:t>2.2供应链风险</w:t>
      </w:r>
    </w:p>
    <w:p>
      <w:pPr>
        <w:pStyle w:val="7"/>
        <w:widowControl/>
        <w:spacing w:beforeAutospacing="0" w:afterAutospacing="0"/>
        <w:ind w:firstLine="420"/>
        <w:rPr>
          <w:rFonts w:hint="eastAsia" w:ascii="宋体" w:hAnsi="宋体" w:cs="宋体"/>
          <w:b/>
          <w:bCs/>
          <w:sz w:val="30"/>
          <w:szCs w:val="30"/>
          <w:shd w:val="clear" w:color="auto" w:fill="FFFFFF"/>
        </w:rPr>
      </w:pPr>
      <w:r>
        <w:rPr>
          <w:rFonts w:hint="eastAsia" w:ascii="宋体" w:hAnsi="宋体" w:cs="宋体"/>
        </w:rPr>
        <w:t>供应链风险（</w:t>
      </w:r>
      <w:r>
        <w:t>Supply Chain Risk</w:t>
      </w:r>
      <w:r>
        <w:rPr>
          <w:rFonts w:hint="eastAsia" w:ascii="宋体" w:hAnsi="宋体" w:cs="宋体"/>
        </w:rPr>
        <w:t>）是指企业在经营活动中受诸多不可预料因素的影响，而整个供应链中各环节的企业间是相互依存的关系，倘若其中一家企业出现不良的状况，将对相关的企业产生一定的影响，从而阻碍整个供应链的正常运营，甚至导致整个供应链的中断或破裂</w:t>
      </w:r>
      <w:r>
        <w:rPr>
          <w:sz w:val="21"/>
          <w:szCs w:val="21"/>
          <w:vertAlign w:val="superscript"/>
        </w:rPr>
        <w:t>[</w:t>
      </w:r>
      <w:r>
        <w:rPr>
          <w:rFonts w:hint="eastAsia"/>
          <w:sz w:val="21"/>
          <w:szCs w:val="21"/>
          <w:vertAlign w:val="superscript"/>
          <w:lang w:val="en-US" w:eastAsia="zh-CN"/>
        </w:rPr>
        <w:t>5</w:t>
      </w:r>
      <w:r>
        <w:rPr>
          <w:rFonts w:hint="eastAsia"/>
          <w:sz w:val="21"/>
          <w:szCs w:val="21"/>
          <w:vertAlign w:val="superscript"/>
        </w:rPr>
        <w:t>][</w:t>
      </w:r>
      <w:r>
        <w:rPr>
          <w:rFonts w:hint="eastAsia"/>
          <w:sz w:val="21"/>
          <w:szCs w:val="21"/>
          <w:vertAlign w:val="superscript"/>
          <w:lang w:val="en-US" w:eastAsia="zh-CN"/>
        </w:rPr>
        <w:t>6</w:t>
      </w:r>
      <w:r>
        <w:rPr>
          <w:sz w:val="21"/>
          <w:szCs w:val="21"/>
          <w:vertAlign w:val="superscript"/>
        </w:rPr>
        <w:t>]</w:t>
      </w:r>
      <w:r>
        <w:rPr>
          <w:rFonts w:hint="eastAsia" w:ascii="宋体" w:hAnsi="宋体" w:cs="宋体"/>
        </w:rPr>
        <w:t>。为了更加客观地收集第一手资料，</w:t>
      </w:r>
      <w:r>
        <w:rPr>
          <w:rFonts w:hint="eastAsia" w:ascii="宋体" w:hAnsi="宋体" w:cs="宋体"/>
          <w:shd w:val="clear" w:color="auto" w:fill="FFFFFF"/>
        </w:rPr>
        <w:t>课题组成员深入外贸企业和相关部门进行调研，主要有福建省粮油食品、福建领航国际物流、中茶福建省茶叶、福建省商务厅等单位。确定了外贸供应链风险的主要影响因素，分别为运作成本、资金短缺、客户流失、物流受阻、订单减少、原料短缺、人员流失、产能不足、库存积压、报关手续、企业协作、延期交付、推迟付款、贸易壁垒、安全环保和不可抗力（代码</w:t>
      </w:r>
      <w:r>
        <w:rPr>
          <w:shd w:val="clear" w:color="auto" w:fill="FFFFFF"/>
        </w:rPr>
        <w:t>F</w:t>
      </w:r>
      <w:r>
        <w:rPr>
          <w:shd w:val="clear" w:color="auto" w:fill="FFFFFF"/>
          <w:vertAlign w:val="subscript"/>
        </w:rPr>
        <w:t>1</w:t>
      </w:r>
      <w:r>
        <w:rPr>
          <w:shd w:val="clear" w:color="auto" w:fill="FFFFFF"/>
        </w:rPr>
        <w:t>-F</w:t>
      </w:r>
      <w:r>
        <w:rPr>
          <w:shd w:val="clear" w:color="auto" w:fill="FFFFFF"/>
          <w:vertAlign w:val="subscript"/>
        </w:rPr>
        <w:t>16</w:t>
      </w:r>
      <w:r>
        <w:rPr>
          <w:rFonts w:hint="eastAsia" w:ascii="宋体" w:hAnsi="宋体" w:cs="宋体"/>
          <w:shd w:val="clear" w:color="auto" w:fill="FFFFFF"/>
        </w:rPr>
        <w:t>）。</w:t>
      </w:r>
      <w:r>
        <w:rPr>
          <w:rFonts w:hint="eastAsia" w:ascii="宋体" w:hAnsi="宋体" w:cs="宋体"/>
          <w:shd w:val="clear" w:color="auto" w:fill="FFFFFF"/>
          <w:lang w:val="en-US" w:eastAsia="zh-CN"/>
        </w:rPr>
        <w:t>这些主要影响因素相互影响，之间的影响关系量化可构成影响矩阵。</w:t>
      </w:r>
    </w:p>
    <w:p>
      <w:pPr>
        <w:spacing w:line="240" w:lineRule="auto"/>
        <w:rPr>
          <w:rFonts w:ascii="宋体" w:hAnsi="宋体" w:cs="宋体"/>
          <w:b/>
          <w:bCs/>
          <w:color w:val="auto"/>
          <w:sz w:val="30"/>
          <w:szCs w:val="30"/>
          <w:shd w:val="clear" w:color="auto" w:fill="FFFFFF"/>
        </w:rPr>
      </w:pPr>
      <w:r>
        <w:rPr>
          <w:rFonts w:hint="eastAsia" w:ascii="宋体" w:hAnsi="宋体" w:cs="宋体"/>
          <w:b/>
          <w:bCs/>
          <w:sz w:val="30"/>
          <w:szCs w:val="30"/>
          <w:shd w:val="clear" w:color="auto" w:fill="FFFFFF"/>
        </w:rPr>
        <w:t>3</w:t>
      </w:r>
      <w:r>
        <w:rPr>
          <w:rFonts w:hint="eastAsia" w:ascii="宋体" w:hAnsi="宋体" w:cs="宋体"/>
          <w:b/>
          <w:bCs/>
          <w:i w:val="0"/>
          <w:iCs w:val="0"/>
          <w:color w:val="auto"/>
          <w:sz w:val="30"/>
          <w:szCs w:val="30"/>
          <w:shd w:val="clear" w:color="auto" w:fill="FFFFFF"/>
        </w:rPr>
        <w:t>研究方法与数据收集</w:t>
      </w:r>
    </w:p>
    <w:p>
      <w:pPr>
        <w:spacing w:line="240" w:lineRule="auto"/>
        <w:rPr>
          <w:rFonts w:ascii="宋体" w:hAnsi="宋体" w:cs="宋体"/>
          <w:b/>
          <w:bCs/>
          <w:sz w:val="28"/>
          <w:szCs w:val="28"/>
          <w:shd w:val="clear" w:color="auto" w:fill="FFFFFF"/>
        </w:rPr>
      </w:pPr>
      <w:r>
        <w:rPr>
          <w:rFonts w:hint="eastAsia" w:ascii="宋体" w:hAnsi="宋体" w:cs="宋体"/>
          <w:b/>
          <w:bCs/>
          <w:sz w:val="28"/>
          <w:szCs w:val="28"/>
          <w:shd w:val="clear" w:color="auto" w:fill="FFFFFF"/>
        </w:rPr>
        <w:t>3.1研究方法</w:t>
      </w:r>
    </w:p>
    <w:p>
      <w:pPr>
        <w:ind w:firstLine="480" w:firstLineChars="200"/>
        <w:rPr>
          <w:rFonts w:ascii="宋体" w:hAnsi="宋体"/>
          <w:sz w:val="24"/>
          <w:shd w:val="clear" w:color="auto" w:fill="FFFFFF"/>
        </w:rPr>
      </w:pPr>
      <w:r>
        <w:rPr>
          <w:rFonts w:hint="eastAsia" w:ascii="宋体" w:hAnsi="宋体" w:cs="宋体"/>
          <w:sz w:val="24"/>
          <w:shd w:val="clear" w:color="auto" w:fill="FFFFFF"/>
        </w:rPr>
        <w:t>美国学者A. Gabus等在19世纪70年代提出的决策与试验评价实验室，简称DEMATEL模型。因现实中存在许多杂乱和繁难的问题，可借助矩阵工具和图论进行分析和解决，DEMATEL模型实质上是一种系统分析方法</w:t>
      </w:r>
      <w:r>
        <w:rPr>
          <w:szCs w:val="21"/>
          <w:vertAlign w:val="superscript"/>
        </w:rPr>
        <w:t>[</w:t>
      </w:r>
      <w:r>
        <w:rPr>
          <w:rFonts w:hint="eastAsia"/>
          <w:szCs w:val="21"/>
          <w:vertAlign w:val="superscript"/>
          <w:lang w:val="en-US" w:eastAsia="zh-CN"/>
        </w:rPr>
        <w:t>7</w:t>
      </w:r>
      <w:r>
        <w:rPr>
          <w:szCs w:val="21"/>
          <w:vertAlign w:val="superscript"/>
        </w:rPr>
        <w:t>]</w:t>
      </w:r>
      <w:r>
        <w:rPr>
          <w:rFonts w:hint="eastAsia" w:ascii="宋体" w:hAnsi="宋体" w:cs="宋体"/>
          <w:sz w:val="24"/>
          <w:shd w:val="clear" w:color="auto" w:fill="FFFFFF"/>
        </w:rPr>
        <w:t>。</w:t>
      </w:r>
    </w:p>
    <w:p>
      <w:pPr>
        <w:ind w:firstLine="480" w:firstLineChars="200"/>
        <w:rPr>
          <w:rFonts w:ascii="宋体" w:hAnsi="宋体" w:cs="宋体"/>
          <w:sz w:val="24"/>
          <w:shd w:val="clear" w:color="auto" w:fill="FFFFFF"/>
        </w:rPr>
      </w:pPr>
      <w:r>
        <w:rPr>
          <w:rStyle w:val="13"/>
          <w:rFonts w:ascii="宋体" w:hAnsi="宋体"/>
          <w:i w:val="0"/>
          <w:iCs w:val="0"/>
          <w:sz w:val="24"/>
          <w:shd w:val="clear" w:color="auto" w:fill="FFFFFF"/>
        </w:rPr>
        <w:t>DEMATE</w:t>
      </w:r>
      <w:r>
        <w:rPr>
          <w:rStyle w:val="13"/>
          <w:rFonts w:hint="eastAsia" w:ascii="宋体" w:hAnsi="宋体"/>
          <w:i w:val="0"/>
          <w:iCs w:val="0"/>
          <w:sz w:val="24"/>
          <w:shd w:val="clear" w:color="auto" w:fill="FFFFFF"/>
        </w:rPr>
        <w:t>L模型</w:t>
      </w:r>
      <w:r>
        <w:rPr>
          <w:rStyle w:val="13"/>
          <w:rFonts w:hint="eastAsia" w:ascii="宋体" w:hAnsi="宋体"/>
          <w:i w:val="0"/>
          <w:iCs w:val="0"/>
          <w:sz w:val="24"/>
          <w:shd w:val="clear" w:color="auto" w:fill="FFFFFF"/>
          <w:lang w:val="en-US" w:eastAsia="zh-CN"/>
        </w:rPr>
        <w:t>的</w:t>
      </w:r>
      <w:r>
        <w:rPr>
          <w:rFonts w:hint="eastAsia" w:ascii="宋体" w:hAnsi="宋体" w:cs="宋体"/>
          <w:sz w:val="24"/>
          <w:shd w:val="clear" w:color="auto" w:fill="FFFFFF"/>
        </w:rPr>
        <w:t>具体</w:t>
      </w:r>
      <w:r>
        <w:rPr>
          <w:rFonts w:hint="eastAsia" w:ascii="宋体" w:hAnsi="宋体" w:cs="宋体"/>
          <w:sz w:val="24"/>
          <w:shd w:val="clear" w:color="auto" w:fill="FFFFFF"/>
          <w:lang w:val="en-US" w:eastAsia="zh-CN"/>
        </w:rPr>
        <w:t>计算</w:t>
      </w:r>
      <w:r>
        <w:rPr>
          <w:rFonts w:hint="eastAsia" w:ascii="宋体" w:hAnsi="宋体" w:cs="宋体"/>
          <w:sz w:val="24"/>
          <w:shd w:val="clear" w:color="auto" w:fill="FFFFFF"/>
        </w:rPr>
        <w:t>步骤如下：</w:t>
      </w:r>
    </w:p>
    <w:p>
      <w:pPr>
        <w:ind w:firstLine="480" w:firstLineChars="200"/>
        <w:rPr>
          <w:rFonts w:ascii="宋体" w:hAnsi="宋体" w:cs="宋体"/>
          <w:sz w:val="24"/>
          <w:shd w:val="clear" w:color="auto" w:fill="FFFFFF"/>
        </w:rPr>
      </w:pPr>
      <w:r>
        <w:rPr>
          <w:rFonts w:hint="eastAsia" w:ascii="宋体" w:hAnsi="宋体" w:cs="宋体"/>
          <w:sz w:val="24"/>
          <w:shd w:val="clear" w:color="auto" w:fill="FFFFFF"/>
        </w:rPr>
        <w:t>首先，a</w:t>
      </w:r>
      <w:r>
        <w:rPr>
          <w:rFonts w:hint="eastAsia" w:ascii="宋体" w:hAnsi="宋体" w:cs="宋体"/>
          <w:sz w:val="24"/>
          <w:shd w:val="clear" w:color="auto" w:fill="FFFFFF"/>
          <w:vertAlign w:val="subscript"/>
        </w:rPr>
        <w:t>ij</w:t>
      </w:r>
      <w:r>
        <w:rPr>
          <w:rFonts w:hint="eastAsia" w:ascii="宋体" w:hAnsi="宋体" w:cs="宋体"/>
          <w:sz w:val="24"/>
          <w:shd w:val="clear" w:color="auto" w:fill="FFFFFF"/>
        </w:rPr>
        <w:t>为量化各因素之间的影响关系，用0-4自然数表示；</w:t>
      </w:r>
    </w:p>
    <w:p>
      <w:pPr>
        <w:ind w:firstLine="480" w:firstLineChars="200"/>
        <w:rPr>
          <w:rFonts w:ascii="宋体" w:hAnsi="宋体" w:cs="宋体"/>
          <w:sz w:val="24"/>
          <w:shd w:val="clear" w:color="auto" w:fill="FFFFFF"/>
        </w:rPr>
      </w:pPr>
      <w:r>
        <w:rPr>
          <w:rFonts w:hint="eastAsia" w:ascii="宋体" w:hAnsi="宋体" w:cs="宋体"/>
          <w:sz w:val="24"/>
          <w:shd w:val="clear" w:color="auto" w:fill="FFFFFF"/>
        </w:rPr>
        <w:t>其次，建立直接影响矩阵并归一化，规范影响矩阵</w:t>
      </w:r>
      <w:r>
        <w:rPr>
          <w:sz w:val="24"/>
          <w:shd w:val="clear" w:color="auto" w:fill="FFFFFF"/>
        </w:rPr>
        <w:t>N=</w:t>
      </w:r>
      <w:r>
        <w:rPr>
          <w:rFonts w:hint="eastAsia"/>
          <w:sz w:val="24"/>
          <w:shd w:val="clear" w:color="auto" w:fill="FFFFFF"/>
        </w:rPr>
        <w:t>（a</w:t>
      </w:r>
      <w:r>
        <w:rPr>
          <w:sz w:val="24"/>
          <w:shd w:val="clear" w:color="auto" w:fill="FFFFFF"/>
          <w:vertAlign w:val="subscript"/>
        </w:rPr>
        <w:t>ij</w:t>
      </w:r>
      <w:r>
        <w:rPr>
          <w:sz w:val="24"/>
          <w:shd w:val="clear" w:color="auto" w:fill="FFFFFF"/>
        </w:rPr>
        <w:t>/</w:t>
      </w:r>
      <w:r>
        <w:rPr>
          <w:color w:val="333333"/>
          <w:sz w:val="24"/>
          <w:shd w:val="clear" w:color="auto" w:fill="FFFFFF"/>
        </w:rPr>
        <w:t>Maxvar)</w:t>
      </w:r>
      <w:r>
        <w:rPr>
          <w:rFonts w:hint="eastAsia"/>
          <w:color w:val="333333"/>
          <w:sz w:val="24"/>
          <w:shd w:val="clear" w:color="auto" w:fill="FFFFFF"/>
        </w:rPr>
        <w:t xml:space="preserve"> </w:t>
      </w:r>
      <w:r>
        <w:rPr>
          <w:color w:val="333333"/>
          <w:sz w:val="24"/>
          <w:shd w:val="clear" w:color="auto" w:fill="FFFFFF"/>
          <w:vertAlign w:val="subscript"/>
        </w:rPr>
        <w:t>n×n</w:t>
      </w:r>
      <w:r>
        <w:rPr>
          <w:rFonts w:hint="eastAsia"/>
          <w:color w:val="333333"/>
          <w:sz w:val="24"/>
          <w:shd w:val="clear" w:color="auto" w:fill="FFFFFF"/>
        </w:rPr>
        <w:t>；</w:t>
      </w:r>
    </w:p>
    <w:p>
      <w:pPr>
        <w:ind w:firstLine="480" w:firstLineChars="200"/>
        <w:rPr>
          <w:rFonts w:ascii="宋体" w:hAnsi="宋体" w:cs="宋体"/>
          <w:sz w:val="24"/>
          <w:shd w:val="clear" w:color="auto" w:fill="FFFFFF"/>
        </w:rPr>
      </w:pPr>
      <w:r>
        <w:rPr>
          <w:rFonts w:hint="eastAsia" w:ascii="宋体" w:hAnsi="宋体" w:cs="宋体"/>
          <w:sz w:val="24"/>
          <w:shd w:val="clear" w:color="auto" w:fill="FFFFFF"/>
        </w:rPr>
        <w:t>再次，对规范矩阵N求逆，得出综合影响矩阵T；</w:t>
      </w:r>
    </w:p>
    <w:p>
      <w:pPr>
        <w:ind w:firstLine="480" w:firstLineChars="200"/>
        <w:rPr>
          <w:sz w:val="24"/>
          <w:shd w:val="clear" w:color="auto" w:fill="FFFFFF"/>
        </w:rPr>
      </w:pPr>
      <w:r>
        <w:rPr>
          <w:color w:val="333333"/>
          <w:sz w:val="24"/>
          <w:shd w:val="clear" w:color="auto" w:fill="FFFFFF"/>
        </w:rPr>
        <w:t>T=</w:t>
      </w:r>
      <w:r>
        <w:rPr>
          <w:rFonts w:hint="eastAsia"/>
          <w:color w:val="333333"/>
          <w:sz w:val="24"/>
          <w:shd w:val="clear" w:color="auto" w:fill="FFFFFF"/>
        </w:rPr>
        <w:t xml:space="preserve"> </w:t>
      </w:r>
      <w:r>
        <w:rPr>
          <w:color w:val="333333"/>
          <w:sz w:val="24"/>
          <w:shd w:val="clear" w:color="auto" w:fill="FFFFFF"/>
        </w:rPr>
        <w:t>(N</w:t>
      </w:r>
      <w:r>
        <w:rPr>
          <w:rFonts w:hint="eastAsia"/>
          <w:color w:val="333333"/>
          <w:sz w:val="24"/>
          <w:shd w:val="clear" w:color="auto" w:fill="FFFFFF"/>
          <w:vertAlign w:val="subscript"/>
        </w:rPr>
        <w:t>1</w:t>
      </w:r>
      <w:r>
        <w:rPr>
          <w:color w:val="333333"/>
          <w:sz w:val="24"/>
          <w:shd w:val="clear" w:color="auto" w:fill="FFFFFF"/>
        </w:rPr>
        <w:t>+N</w:t>
      </w:r>
      <w:r>
        <w:rPr>
          <w:color w:val="333333"/>
          <w:sz w:val="24"/>
          <w:shd w:val="clear" w:color="auto" w:fill="FFFFFF"/>
          <w:vertAlign w:val="subscript"/>
        </w:rPr>
        <w:t>2</w:t>
      </w:r>
      <w:r>
        <w:rPr>
          <w:color w:val="333333"/>
          <w:sz w:val="24"/>
          <w:shd w:val="clear" w:color="auto" w:fill="FFFFFF"/>
        </w:rPr>
        <w:t>+N</w:t>
      </w:r>
      <w:r>
        <w:rPr>
          <w:color w:val="333333"/>
          <w:sz w:val="24"/>
          <w:shd w:val="clear" w:color="auto" w:fill="FFFFFF"/>
          <w:vertAlign w:val="subscript"/>
        </w:rPr>
        <w:t>3</w:t>
      </w:r>
      <w:r>
        <w:rPr>
          <w:color w:val="333333"/>
          <w:sz w:val="24"/>
          <w:shd w:val="clear" w:color="auto" w:fill="FFFFFF"/>
        </w:rPr>
        <w:t>+⋯+</w:t>
      </w:r>
      <w:r>
        <w:rPr>
          <w:rFonts w:hint="eastAsia"/>
          <w:color w:val="333333"/>
          <w:sz w:val="24"/>
          <w:shd w:val="clear" w:color="auto" w:fill="FFFFFF"/>
        </w:rPr>
        <w:t xml:space="preserve"> </w:t>
      </w:r>
      <w:r>
        <w:rPr>
          <w:color w:val="333333"/>
          <w:sz w:val="24"/>
          <w:shd w:val="clear" w:color="auto" w:fill="FFFFFF"/>
        </w:rPr>
        <w:t>N</w:t>
      </w:r>
      <w:r>
        <w:rPr>
          <w:color w:val="333333"/>
          <w:sz w:val="24"/>
          <w:shd w:val="clear" w:color="auto" w:fill="FFFFFF"/>
          <w:vertAlign w:val="subscript"/>
        </w:rPr>
        <w:t>k</w:t>
      </w:r>
      <w:r>
        <w:rPr>
          <w:color w:val="333333"/>
          <w:sz w:val="24"/>
          <w:shd w:val="clear" w:color="auto" w:fill="FFFFFF"/>
        </w:rPr>
        <w:t>)</w:t>
      </w:r>
      <w:r>
        <w:rPr>
          <w:rFonts w:hint="eastAsia"/>
          <w:color w:val="333333"/>
          <w:sz w:val="24"/>
          <w:shd w:val="clear" w:color="auto" w:fill="FFFFFF"/>
        </w:rPr>
        <w:t xml:space="preserve"> </w:t>
      </w:r>
      <w:r>
        <w:rPr>
          <w:color w:val="333333"/>
          <w:sz w:val="24"/>
          <w:shd w:val="clear" w:color="auto" w:fill="FFFFFF"/>
        </w:rPr>
        <w:t>−</w:t>
      </w:r>
      <w:r>
        <w:rPr>
          <w:color w:val="333333"/>
          <w:spacing w:val="-69"/>
          <w:sz w:val="24"/>
          <w:shd w:val="clear" w:color="auto" w:fill="FFFFFF"/>
        </w:rPr>
        <w:t>−−−</w:t>
      </w:r>
      <w:r>
        <w:rPr>
          <w:color w:val="333333"/>
          <w:sz w:val="24"/>
          <w:shd w:val="clear" w:color="auto" w:fill="FFFFFF"/>
        </w:rPr>
        <w:t>→T=</w:t>
      </w:r>
      <w:r>
        <w:rPr>
          <w:rFonts w:hint="eastAsia"/>
          <w:color w:val="333333"/>
          <w:sz w:val="24"/>
          <w:shd w:val="clear" w:color="auto" w:fill="FFFFFF"/>
        </w:rPr>
        <w:t xml:space="preserve"> </w:t>
      </w:r>
      <w:r>
        <w:rPr>
          <w:color w:val="333333"/>
          <w:sz w:val="24"/>
          <w:shd w:val="clear" w:color="auto" w:fill="FFFFFF"/>
        </w:rPr>
        <w:t>N</w:t>
      </w:r>
      <w:r>
        <w:rPr>
          <w:rFonts w:hint="eastAsia"/>
          <w:color w:val="333333"/>
          <w:sz w:val="24"/>
          <w:shd w:val="clear" w:color="auto" w:fill="FFFFFF"/>
        </w:rPr>
        <w:t xml:space="preserve"> </w:t>
      </w:r>
      <w:r>
        <w:rPr>
          <w:color w:val="333333"/>
          <w:sz w:val="24"/>
          <w:shd w:val="clear" w:color="auto" w:fill="FFFFFF"/>
        </w:rPr>
        <w:t>(I−N)</w:t>
      </w:r>
      <w:r>
        <w:rPr>
          <w:rFonts w:hint="eastAsia"/>
          <w:color w:val="333333"/>
          <w:sz w:val="24"/>
          <w:shd w:val="clear" w:color="auto" w:fill="FFFFFF"/>
        </w:rPr>
        <w:t xml:space="preserve"> </w:t>
      </w:r>
      <w:r>
        <w:rPr>
          <w:color w:val="333333"/>
          <w:sz w:val="24"/>
          <w:shd w:val="clear" w:color="auto" w:fill="FFFFFF"/>
          <w:vertAlign w:val="superscript"/>
        </w:rPr>
        <w:t>−1</w:t>
      </w:r>
    </w:p>
    <w:p>
      <w:pPr>
        <w:ind w:firstLine="480" w:firstLineChars="200"/>
        <w:rPr>
          <w:rFonts w:ascii="宋体" w:hAnsi="宋体" w:cs="宋体"/>
          <w:sz w:val="24"/>
          <w:shd w:val="clear" w:color="auto" w:fill="FFFFFF"/>
        </w:rPr>
      </w:pPr>
      <w:r>
        <w:rPr>
          <w:rFonts w:hint="eastAsia" w:ascii="宋体" w:hAnsi="宋体" w:cs="宋体"/>
          <w:sz w:val="24"/>
          <w:shd w:val="clear" w:color="auto" w:fill="FFFFFF"/>
        </w:rPr>
        <w:t>然后，计算出度量标准值；</w:t>
      </w:r>
    </w:p>
    <w:p>
      <w:pPr>
        <w:ind w:firstLine="480" w:firstLineChars="200"/>
        <w:rPr>
          <w:color w:val="333333"/>
          <w:sz w:val="24"/>
          <w:shd w:val="clear" w:color="auto" w:fill="FFFFFF"/>
        </w:rPr>
      </w:pPr>
      <w:r>
        <w:rPr>
          <w:rFonts w:hint="eastAsia" w:ascii="宋体" w:hAnsi="宋体" w:cs="宋体"/>
          <w:sz w:val="24"/>
          <w:shd w:val="clear" w:color="auto" w:fill="FFFFFF"/>
        </w:rPr>
        <w:t>影响度</w:t>
      </w:r>
      <w:r>
        <w:rPr>
          <w:color w:val="333333"/>
          <w:sz w:val="24"/>
          <w:shd w:val="clear" w:color="auto" w:fill="FFFFFF"/>
        </w:rPr>
        <w:t>D</w:t>
      </w:r>
      <w:r>
        <w:rPr>
          <w:color w:val="333333"/>
          <w:sz w:val="24"/>
          <w:shd w:val="clear" w:color="auto" w:fill="FFFFFF"/>
          <w:vertAlign w:val="subscript"/>
        </w:rPr>
        <w:t>i</w:t>
      </w:r>
      <w:r>
        <w:rPr>
          <w:color w:val="333333"/>
          <w:sz w:val="24"/>
          <w:shd w:val="clear" w:color="auto" w:fill="FFFFFF"/>
        </w:rPr>
        <w:t>=t</w:t>
      </w:r>
      <w:r>
        <w:rPr>
          <w:color w:val="333333"/>
          <w:sz w:val="24"/>
          <w:shd w:val="clear" w:color="auto" w:fill="FFFFFF"/>
          <w:vertAlign w:val="subscript"/>
        </w:rPr>
        <w:t>i1</w:t>
      </w:r>
      <w:r>
        <w:rPr>
          <w:color w:val="333333"/>
          <w:sz w:val="24"/>
          <w:shd w:val="clear" w:color="auto" w:fill="FFFFFF"/>
        </w:rPr>
        <w:t>+t</w:t>
      </w:r>
      <w:r>
        <w:rPr>
          <w:color w:val="333333"/>
          <w:sz w:val="24"/>
          <w:shd w:val="clear" w:color="auto" w:fill="FFFFFF"/>
          <w:vertAlign w:val="subscript"/>
        </w:rPr>
        <w:t>i2</w:t>
      </w:r>
      <w:r>
        <w:rPr>
          <w:color w:val="333333"/>
          <w:sz w:val="24"/>
          <w:shd w:val="clear" w:color="auto" w:fill="FFFFFF"/>
        </w:rPr>
        <w:t>⋯+t</w:t>
      </w:r>
      <w:r>
        <w:rPr>
          <w:color w:val="333333"/>
          <w:sz w:val="24"/>
          <w:shd w:val="clear" w:color="auto" w:fill="FFFFFF"/>
          <w:vertAlign w:val="subscript"/>
        </w:rPr>
        <w:t>in</w:t>
      </w:r>
      <w:r>
        <w:rPr>
          <w:color w:val="333333"/>
          <w:sz w:val="24"/>
          <w:shd w:val="clear" w:color="auto" w:fill="FFFFFF"/>
        </w:rPr>
        <w:t>,(i=1,2,3,⋯,n)</w:t>
      </w:r>
      <w:r>
        <w:rPr>
          <w:rFonts w:hint="eastAsia"/>
          <w:color w:val="333333"/>
          <w:sz w:val="24"/>
          <w:shd w:val="clear" w:color="auto" w:fill="FFFFFF"/>
        </w:rPr>
        <w:t xml:space="preserve">  </w:t>
      </w:r>
    </w:p>
    <w:p>
      <w:pPr>
        <w:ind w:firstLine="480" w:firstLineChars="200"/>
        <w:rPr>
          <w:color w:val="333333"/>
          <w:sz w:val="24"/>
          <w:shd w:val="clear" w:color="auto" w:fill="FFFFFF"/>
        </w:rPr>
      </w:pPr>
      <w:r>
        <w:rPr>
          <w:rFonts w:hint="eastAsia" w:ascii="宋体" w:hAnsi="宋体" w:cs="宋体"/>
          <w:sz w:val="24"/>
          <w:shd w:val="clear" w:color="auto" w:fill="FFFFFF"/>
        </w:rPr>
        <w:t>被影响度</w:t>
      </w:r>
      <w:r>
        <w:rPr>
          <w:color w:val="333333"/>
          <w:sz w:val="24"/>
          <w:shd w:val="clear" w:color="auto" w:fill="FFFFFF"/>
        </w:rPr>
        <w:t>C</w:t>
      </w:r>
      <w:r>
        <w:rPr>
          <w:color w:val="333333"/>
          <w:sz w:val="24"/>
          <w:shd w:val="clear" w:color="auto" w:fill="FFFFFF"/>
          <w:vertAlign w:val="subscript"/>
        </w:rPr>
        <w:t>i</w:t>
      </w:r>
      <w:r>
        <w:rPr>
          <w:color w:val="333333"/>
          <w:sz w:val="24"/>
          <w:shd w:val="clear" w:color="auto" w:fill="FFFFFF"/>
        </w:rPr>
        <w:t>=t</w:t>
      </w:r>
      <w:r>
        <w:rPr>
          <w:color w:val="333333"/>
          <w:sz w:val="24"/>
          <w:shd w:val="clear" w:color="auto" w:fill="FFFFFF"/>
          <w:vertAlign w:val="subscript"/>
        </w:rPr>
        <w:t>1i</w:t>
      </w:r>
      <w:r>
        <w:rPr>
          <w:color w:val="333333"/>
          <w:sz w:val="24"/>
          <w:shd w:val="clear" w:color="auto" w:fill="FFFFFF"/>
        </w:rPr>
        <w:t>+t</w:t>
      </w:r>
      <w:r>
        <w:rPr>
          <w:color w:val="333333"/>
          <w:sz w:val="24"/>
          <w:shd w:val="clear" w:color="auto" w:fill="FFFFFF"/>
          <w:vertAlign w:val="subscript"/>
        </w:rPr>
        <w:t>2i</w:t>
      </w:r>
      <w:r>
        <w:rPr>
          <w:color w:val="333333"/>
          <w:sz w:val="24"/>
          <w:shd w:val="clear" w:color="auto" w:fill="FFFFFF"/>
        </w:rPr>
        <w:t>⋯t</w:t>
      </w:r>
      <w:r>
        <w:rPr>
          <w:color w:val="333333"/>
          <w:sz w:val="24"/>
          <w:shd w:val="clear" w:color="auto" w:fill="FFFFFF"/>
          <w:vertAlign w:val="subscript"/>
        </w:rPr>
        <w:t>ni</w:t>
      </w:r>
      <w:r>
        <w:rPr>
          <w:color w:val="333333"/>
          <w:sz w:val="24"/>
          <w:shd w:val="clear" w:color="auto" w:fill="FFFFFF"/>
        </w:rPr>
        <w:t>,(i=1,2,3,⋯,n)</w:t>
      </w:r>
    </w:p>
    <w:p>
      <w:pPr>
        <w:ind w:firstLine="480" w:firstLineChars="200"/>
        <w:rPr>
          <w:rFonts w:ascii="宋体" w:hAnsi="宋体" w:cs="宋体"/>
          <w:color w:val="333333"/>
          <w:sz w:val="24"/>
          <w:shd w:val="clear" w:color="auto" w:fill="FFFFFF"/>
        </w:rPr>
      </w:pPr>
      <w:r>
        <w:rPr>
          <w:rFonts w:hint="eastAsia" w:ascii="宋体" w:hAnsi="宋体" w:cs="宋体"/>
          <w:sz w:val="24"/>
          <w:shd w:val="clear" w:color="auto" w:fill="FFFFFF"/>
        </w:rPr>
        <w:t>中心度</w:t>
      </w:r>
      <w:r>
        <w:rPr>
          <w:color w:val="333333"/>
          <w:sz w:val="24"/>
          <w:shd w:val="clear" w:color="auto" w:fill="FFFFFF"/>
        </w:rPr>
        <w:t>M</w:t>
      </w:r>
      <w:r>
        <w:rPr>
          <w:color w:val="333333"/>
          <w:sz w:val="24"/>
          <w:shd w:val="clear" w:color="auto" w:fill="FFFFFF"/>
          <w:vertAlign w:val="subscript"/>
        </w:rPr>
        <w:t>i</w:t>
      </w:r>
      <w:r>
        <w:rPr>
          <w:color w:val="333333"/>
          <w:sz w:val="24"/>
          <w:shd w:val="clear" w:color="auto" w:fill="FFFFFF"/>
        </w:rPr>
        <w:t>=D</w:t>
      </w:r>
      <w:r>
        <w:rPr>
          <w:color w:val="333333"/>
          <w:sz w:val="24"/>
          <w:shd w:val="clear" w:color="auto" w:fill="FFFFFF"/>
          <w:vertAlign w:val="subscript"/>
        </w:rPr>
        <w:t>i</w:t>
      </w:r>
      <w:r>
        <w:rPr>
          <w:color w:val="333333"/>
          <w:sz w:val="24"/>
          <w:shd w:val="clear" w:color="auto" w:fill="FFFFFF"/>
        </w:rPr>
        <w:t>+C</w:t>
      </w:r>
      <w:r>
        <w:rPr>
          <w:color w:val="333333"/>
          <w:sz w:val="24"/>
          <w:shd w:val="clear" w:color="auto" w:fill="FFFFFF"/>
          <w:vertAlign w:val="subscript"/>
        </w:rPr>
        <w:t xml:space="preserve">i </w:t>
      </w:r>
      <w:r>
        <w:rPr>
          <w:rFonts w:hint="eastAsia" w:ascii="宋体" w:hAnsi="宋体" w:cs="宋体"/>
          <w:color w:val="333333"/>
          <w:sz w:val="24"/>
          <w:shd w:val="clear" w:color="auto" w:fill="FFFFFF"/>
        </w:rPr>
        <w:t xml:space="preserve">                </w:t>
      </w:r>
    </w:p>
    <w:p>
      <w:pPr>
        <w:ind w:firstLine="360" w:firstLineChars="150"/>
        <w:rPr>
          <w:rFonts w:ascii="宋体" w:hAnsi="宋体" w:cs="宋体"/>
          <w:color w:val="333333"/>
          <w:sz w:val="24"/>
          <w:shd w:val="clear" w:color="auto" w:fill="FFFFFF"/>
        </w:rPr>
      </w:pPr>
      <w:r>
        <w:rPr>
          <w:rFonts w:hint="eastAsia" w:ascii="宋体" w:hAnsi="宋体" w:cs="宋体"/>
          <w:color w:val="333333"/>
          <w:sz w:val="24"/>
          <w:shd w:val="clear" w:color="auto" w:fill="FFFFFF"/>
        </w:rPr>
        <w:t xml:space="preserve"> </w:t>
      </w:r>
      <w:r>
        <w:rPr>
          <w:rFonts w:hint="eastAsia" w:ascii="宋体" w:hAnsi="宋体" w:cs="宋体"/>
          <w:sz w:val="24"/>
          <w:shd w:val="clear" w:color="auto" w:fill="FFFFFF"/>
        </w:rPr>
        <w:t>原因度</w:t>
      </w:r>
      <w:r>
        <w:rPr>
          <w:color w:val="333333"/>
          <w:sz w:val="24"/>
          <w:shd w:val="clear" w:color="auto" w:fill="FFFFFF"/>
        </w:rPr>
        <w:t>R</w:t>
      </w:r>
      <w:r>
        <w:rPr>
          <w:color w:val="333333"/>
          <w:sz w:val="24"/>
          <w:shd w:val="clear" w:color="auto" w:fill="FFFFFF"/>
          <w:vertAlign w:val="subscript"/>
        </w:rPr>
        <w:t>i</w:t>
      </w:r>
      <w:r>
        <w:rPr>
          <w:color w:val="333333"/>
          <w:sz w:val="24"/>
          <w:shd w:val="clear" w:color="auto" w:fill="FFFFFF"/>
        </w:rPr>
        <w:t>=D</w:t>
      </w:r>
      <w:r>
        <w:rPr>
          <w:color w:val="333333"/>
          <w:sz w:val="24"/>
          <w:shd w:val="clear" w:color="auto" w:fill="FFFFFF"/>
          <w:vertAlign w:val="subscript"/>
        </w:rPr>
        <w:t>i</w:t>
      </w:r>
      <w:r>
        <w:rPr>
          <w:color w:val="333333"/>
          <w:sz w:val="24"/>
          <w:shd w:val="clear" w:color="auto" w:fill="FFFFFF"/>
        </w:rPr>
        <w:t>−C</w:t>
      </w:r>
      <w:r>
        <w:rPr>
          <w:color w:val="333333"/>
          <w:sz w:val="24"/>
          <w:shd w:val="clear" w:color="auto" w:fill="FFFFFF"/>
          <w:vertAlign w:val="subscript"/>
        </w:rPr>
        <w:t>i</w:t>
      </w:r>
    </w:p>
    <w:p>
      <w:pPr>
        <w:spacing w:line="240" w:lineRule="auto"/>
        <w:rPr>
          <w:rFonts w:ascii="宋体" w:hAnsi="宋体" w:cs="宋体"/>
          <w:b/>
          <w:bCs/>
          <w:sz w:val="28"/>
          <w:szCs w:val="28"/>
          <w:shd w:val="clear" w:color="auto" w:fill="FFFFFF"/>
        </w:rPr>
      </w:pPr>
      <w:r>
        <w:rPr>
          <w:rFonts w:hint="eastAsia" w:ascii="宋体" w:hAnsi="宋体" w:cs="宋体"/>
          <w:b/>
          <w:bCs/>
          <w:sz w:val="28"/>
          <w:szCs w:val="28"/>
          <w:shd w:val="clear" w:color="auto" w:fill="FFFFFF"/>
        </w:rPr>
        <w:t>3.2数据收集</w:t>
      </w:r>
    </w:p>
    <w:p>
      <w:pPr>
        <w:ind w:firstLine="480" w:firstLineChars="200"/>
        <w:rPr>
          <w:rFonts w:ascii="宋体" w:hAnsi="宋体" w:cs="宋体"/>
          <w:sz w:val="24"/>
        </w:rPr>
      </w:pPr>
      <w:r>
        <w:rPr>
          <w:rFonts w:hint="eastAsia" w:ascii="宋体" w:hAnsi="宋体" w:cs="宋体"/>
          <w:sz w:val="24"/>
          <w:shd w:val="clear" w:color="auto" w:fill="FFFFFF"/>
        </w:rPr>
        <w:t>在调查分析的基础上，确定影响外贸供应链风险16个主要影响因素，详见表1</w:t>
      </w:r>
      <w:r>
        <w:rPr>
          <w:rFonts w:hint="default" w:ascii="Times New Roman" w:hAnsi="Times New Roman" w:cs="Times New Roman"/>
          <w:sz w:val="21"/>
          <w:szCs w:val="21"/>
          <w:shd w:val="clear" w:color="auto" w:fill="FFFFFF"/>
          <w:vertAlign w:val="superscript"/>
          <w:lang w:val="en-US" w:eastAsia="zh-CN"/>
        </w:rPr>
        <w:t>[8]</w:t>
      </w:r>
      <w:r>
        <w:rPr>
          <w:rFonts w:hint="eastAsia" w:ascii="宋体" w:hAnsi="宋体" w:cs="宋体"/>
          <w:sz w:val="24"/>
          <w:shd w:val="clear" w:color="auto" w:fill="FFFFFF"/>
        </w:rPr>
        <w:t>。将风险影响因素之间的关系量化为五个等级，用0-4的自然数表示（</w:t>
      </w:r>
      <w:r>
        <w:rPr>
          <w:rFonts w:hint="eastAsia" w:ascii="宋体" w:hAnsi="宋体" w:cs="宋体"/>
          <w:sz w:val="24"/>
        </w:rPr>
        <w:t>0表示无，1表示较弱，2表示一般，3表示强，4表示较强）。</w:t>
      </w:r>
      <w:r>
        <w:rPr>
          <w:rFonts w:hint="eastAsia" w:ascii="宋体" w:hAnsi="宋体" w:cs="宋体"/>
          <w:sz w:val="24"/>
          <w:shd w:val="clear" w:color="auto" w:fill="FFFFFF"/>
        </w:rPr>
        <w:t>建立外贸供应链风险评价矩阵的基础上，邀请9位外贸供应链风险的相关专家填写风险矩阵，并</w:t>
      </w:r>
      <w:r>
        <w:rPr>
          <w:rFonts w:hint="eastAsia" w:ascii="宋体" w:hAnsi="宋体" w:cs="宋体"/>
          <w:sz w:val="24"/>
        </w:rPr>
        <w:t>得出外贸供应链风险直接影响矩阵。</w:t>
      </w:r>
    </w:p>
    <w:p>
      <w:pPr>
        <w:ind w:firstLine="420" w:firstLineChars="200"/>
        <w:jc w:val="center"/>
        <w:rPr>
          <w:rFonts w:ascii="宋体" w:hAnsi="宋体" w:cs="宋体"/>
          <w:sz w:val="24"/>
        </w:rPr>
      </w:pPr>
      <w:r>
        <w:drawing>
          <wp:inline distT="0" distB="0" distL="114300" distR="114300">
            <wp:extent cx="4150360" cy="398780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4156710" cy="3987800"/>
                    </a:xfrm>
                    <a:prstGeom prst="rect">
                      <a:avLst/>
                    </a:prstGeom>
                    <a:noFill/>
                    <a:ln>
                      <a:noFill/>
                    </a:ln>
                  </pic:spPr>
                </pic:pic>
              </a:graphicData>
            </a:graphic>
          </wp:inline>
        </w:drawing>
      </w:r>
    </w:p>
    <w:p>
      <w:pPr>
        <w:ind w:firstLine="480" w:firstLineChars="200"/>
        <w:rPr>
          <w:rFonts w:ascii="宋体" w:hAnsi="宋体" w:cs="宋体"/>
          <w:shd w:val="clear" w:color="auto" w:fill="FFFFFF"/>
        </w:rPr>
      </w:pPr>
      <w:r>
        <w:rPr>
          <w:rFonts w:hint="eastAsia" w:ascii="宋体" w:hAnsi="宋体" w:cs="宋体"/>
          <w:sz w:val="24"/>
          <w:shd w:val="clear" w:color="auto" w:fill="FFFFFF"/>
        </w:rPr>
        <w:t>设计外贸供应链风险调查问卷，将发生概率分五个等级并用对应数值表示</w:t>
      </w:r>
      <w:r>
        <w:rPr>
          <w:rFonts w:hint="eastAsia" w:ascii="宋体" w:hAnsi="宋体" w:cs="宋体"/>
          <w:shd w:val="clear" w:color="auto" w:fill="FFFFFF"/>
        </w:rPr>
        <w:t>。</w:t>
      </w:r>
    </w:p>
    <w:p>
      <w:pPr>
        <w:ind w:firstLine="2530" w:firstLineChars="1200"/>
        <w:rPr>
          <w:rFonts w:ascii="宋体" w:hAnsi="宋体" w:cs="宋体"/>
          <w:b/>
          <w:bCs/>
          <w:szCs w:val="21"/>
          <w:shd w:val="clear" w:color="auto" w:fill="FFFFFF"/>
        </w:rPr>
      </w:pPr>
      <w:r>
        <w:rPr>
          <w:rFonts w:hint="eastAsia" w:ascii="宋体" w:hAnsi="宋体" w:cs="宋体"/>
          <w:b/>
          <w:bCs/>
          <w:szCs w:val="21"/>
          <w:shd w:val="clear" w:color="auto" w:fill="FFFFFF"/>
        </w:rPr>
        <w:t>表2 发生概率和发生频率的代表数值</w:t>
      </w:r>
    </w:p>
    <w:tbl>
      <w:tblPr>
        <w:tblStyle w:val="9"/>
        <w:tblpPr w:leftFromText="180" w:rightFromText="180" w:vertAnchor="text" w:horzAnchor="page" w:tblpX="3619" w:tblpY="1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850"/>
        <w:gridCol w:w="900"/>
        <w:gridCol w:w="642"/>
        <w:gridCol w:w="883"/>
        <w:gridCol w:w="10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left w:val="nil"/>
              <w:right w:val="nil"/>
            </w:tcBorders>
          </w:tcPr>
          <w:p>
            <w:pPr>
              <w:rPr>
                <w:rFonts w:ascii="宋体" w:hAnsi="宋体" w:cs="宋体"/>
                <w:szCs w:val="21"/>
                <w:shd w:val="clear" w:color="auto" w:fill="FFFFFF"/>
              </w:rPr>
            </w:pPr>
            <w:r>
              <w:rPr>
                <w:rFonts w:hint="eastAsia" w:ascii="宋体" w:hAnsi="宋体" w:cs="宋体"/>
                <w:szCs w:val="21"/>
                <w:shd w:val="clear" w:color="auto" w:fill="FFFFFF"/>
              </w:rPr>
              <w:t>数值</w:t>
            </w:r>
          </w:p>
        </w:tc>
        <w:tc>
          <w:tcPr>
            <w:tcW w:w="850" w:type="dxa"/>
            <w:tcBorders>
              <w:left w:val="nil"/>
              <w:right w:val="nil"/>
            </w:tcBorders>
          </w:tcPr>
          <w:p>
            <w:pPr>
              <w:rPr>
                <w:rFonts w:ascii="宋体" w:hAnsi="宋体" w:cs="宋体"/>
                <w:szCs w:val="21"/>
                <w:shd w:val="clear" w:color="auto" w:fill="FFFFFF"/>
              </w:rPr>
            </w:pPr>
            <w:r>
              <w:rPr>
                <w:szCs w:val="21"/>
                <w:shd w:val="clear" w:color="auto" w:fill="FFFFFF"/>
              </w:rPr>
              <w:t>0.05</w:t>
            </w:r>
          </w:p>
        </w:tc>
        <w:tc>
          <w:tcPr>
            <w:tcW w:w="900" w:type="dxa"/>
            <w:tcBorders>
              <w:left w:val="nil"/>
              <w:right w:val="nil"/>
            </w:tcBorders>
          </w:tcPr>
          <w:p>
            <w:pPr>
              <w:rPr>
                <w:rFonts w:ascii="宋体" w:hAnsi="宋体" w:cs="宋体"/>
                <w:szCs w:val="21"/>
                <w:shd w:val="clear" w:color="auto" w:fill="FFFFFF"/>
              </w:rPr>
            </w:pPr>
            <w:r>
              <w:rPr>
                <w:szCs w:val="21"/>
                <w:shd w:val="clear" w:color="auto" w:fill="FFFFFF"/>
              </w:rPr>
              <w:t>0.25</w:t>
            </w:r>
          </w:p>
        </w:tc>
        <w:tc>
          <w:tcPr>
            <w:tcW w:w="642" w:type="dxa"/>
            <w:tcBorders>
              <w:left w:val="nil"/>
              <w:right w:val="nil"/>
            </w:tcBorders>
          </w:tcPr>
          <w:p>
            <w:pPr>
              <w:rPr>
                <w:rFonts w:ascii="宋体" w:hAnsi="宋体" w:cs="宋体"/>
                <w:szCs w:val="21"/>
                <w:shd w:val="clear" w:color="auto" w:fill="FFFFFF"/>
              </w:rPr>
            </w:pPr>
            <w:r>
              <w:rPr>
                <w:szCs w:val="21"/>
                <w:shd w:val="clear" w:color="auto" w:fill="FFFFFF"/>
              </w:rPr>
              <w:t>0.5</w:t>
            </w:r>
          </w:p>
        </w:tc>
        <w:tc>
          <w:tcPr>
            <w:tcW w:w="883" w:type="dxa"/>
            <w:tcBorders>
              <w:left w:val="nil"/>
              <w:right w:val="nil"/>
            </w:tcBorders>
          </w:tcPr>
          <w:p>
            <w:pPr>
              <w:rPr>
                <w:rFonts w:ascii="宋体" w:hAnsi="宋体" w:cs="宋体"/>
                <w:szCs w:val="21"/>
                <w:shd w:val="clear" w:color="auto" w:fill="FFFFFF"/>
              </w:rPr>
            </w:pPr>
            <w:r>
              <w:rPr>
                <w:szCs w:val="21"/>
                <w:shd w:val="clear" w:color="auto" w:fill="FFFFFF"/>
              </w:rPr>
              <w:t>0.75</w:t>
            </w:r>
          </w:p>
        </w:tc>
        <w:tc>
          <w:tcPr>
            <w:tcW w:w="1092" w:type="dxa"/>
            <w:tcBorders>
              <w:left w:val="nil"/>
              <w:right w:val="nil"/>
            </w:tcBorders>
          </w:tcPr>
          <w:p>
            <w:pPr>
              <w:rPr>
                <w:rFonts w:ascii="宋体" w:hAnsi="宋体" w:cs="宋体"/>
                <w:szCs w:val="21"/>
                <w:shd w:val="clear" w:color="auto" w:fill="FFFFFF"/>
              </w:rPr>
            </w:pPr>
            <w:r>
              <w:rPr>
                <w:szCs w:val="21"/>
                <w:shd w:val="clear" w:color="auto" w:fill="FFFFFF"/>
              </w:rPr>
              <w:t>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left w:val="nil"/>
              <w:bottom w:val="nil"/>
              <w:right w:val="nil"/>
            </w:tcBorders>
          </w:tcPr>
          <w:p>
            <w:pPr>
              <w:rPr>
                <w:rFonts w:ascii="宋体" w:hAnsi="宋体" w:cs="宋体"/>
                <w:szCs w:val="21"/>
                <w:shd w:val="clear" w:color="auto" w:fill="FFFFFF"/>
              </w:rPr>
            </w:pPr>
            <w:r>
              <w:rPr>
                <w:rFonts w:hint="eastAsia" w:ascii="宋体" w:hAnsi="宋体" w:cs="宋体"/>
                <w:szCs w:val="21"/>
                <w:shd w:val="clear" w:color="auto" w:fill="FFFFFF"/>
              </w:rPr>
              <w:t>发生概率</w:t>
            </w:r>
          </w:p>
        </w:tc>
        <w:tc>
          <w:tcPr>
            <w:tcW w:w="850" w:type="dxa"/>
            <w:tcBorders>
              <w:left w:val="nil"/>
              <w:bottom w:val="nil"/>
              <w:right w:val="nil"/>
            </w:tcBorders>
          </w:tcPr>
          <w:p>
            <w:pPr>
              <w:rPr>
                <w:rFonts w:ascii="宋体" w:hAnsi="宋体" w:cs="宋体"/>
                <w:szCs w:val="21"/>
                <w:shd w:val="clear" w:color="auto" w:fill="FFFFFF"/>
              </w:rPr>
            </w:pPr>
            <w:r>
              <w:rPr>
                <w:rFonts w:hint="eastAsia" w:ascii="宋体" w:hAnsi="宋体" w:cs="宋体"/>
                <w:color w:val="000000" w:themeColor="text1"/>
                <w:szCs w:val="21"/>
                <w14:textFill>
                  <w14:solidFill>
                    <w14:schemeClr w14:val="tx1"/>
                  </w14:solidFill>
                </w14:textFill>
              </w:rPr>
              <w:t>不可能</w:t>
            </w:r>
          </w:p>
        </w:tc>
        <w:tc>
          <w:tcPr>
            <w:tcW w:w="900" w:type="dxa"/>
            <w:tcBorders>
              <w:left w:val="nil"/>
              <w:bottom w:val="nil"/>
              <w:right w:val="nil"/>
            </w:tcBorders>
          </w:tcPr>
          <w:p>
            <w:pPr>
              <w:rPr>
                <w:rFonts w:ascii="宋体" w:hAnsi="宋体" w:cs="宋体"/>
                <w:szCs w:val="21"/>
                <w:shd w:val="clear" w:color="auto" w:fill="FFFFFF"/>
              </w:rPr>
            </w:pPr>
            <w:r>
              <w:rPr>
                <w:rFonts w:hint="eastAsia" w:ascii="宋体" w:hAnsi="宋体" w:cs="宋体"/>
                <w:color w:val="000000" w:themeColor="text1"/>
                <w:szCs w:val="21"/>
                <w14:textFill>
                  <w14:solidFill>
                    <w14:schemeClr w14:val="tx1"/>
                  </w14:solidFill>
                </w14:textFill>
              </w:rPr>
              <w:t>有可能</w:t>
            </w:r>
          </w:p>
        </w:tc>
        <w:tc>
          <w:tcPr>
            <w:tcW w:w="642" w:type="dxa"/>
            <w:tcBorders>
              <w:left w:val="nil"/>
              <w:bottom w:val="nil"/>
              <w:right w:val="nil"/>
            </w:tcBorders>
          </w:tcPr>
          <w:p>
            <w:pPr>
              <w:rPr>
                <w:rFonts w:ascii="宋体" w:hAnsi="宋体" w:cs="宋体"/>
                <w:szCs w:val="21"/>
                <w:shd w:val="clear" w:color="auto" w:fill="FFFFFF"/>
              </w:rPr>
            </w:pPr>
            <w:r>
              <w:rPr>
                <w:rFonts w:hint="eastAsia" w:ascii="宋体" w:hAnsi="宋体" w:cs="宋体"/>
                <w:color w:val="000000" w:themeColor="text1"/>
                <w:szCs w:val="21"/>
                <w14:textFill>
                  <w14:solidFill>
                    <w14:schemeClr w14:val="tx1"/>
                  </w14:solidFill>
                </w14:textFill>
              </w:rPr>
              <w:t>可能</w:t>
            </w:r>
          </w:p>
        </w:tc>
        <w:tc>
          <w:tcPr>
            <w:tcW w:w="883" w:type="dxa"/>
            <w:tcBorders>
              <w:left w:val="nil"/>
              <w:bottom w:val="nil"/>
              <w:right w:val="nil"/>
            </w:tcBorders>
          </w:tcPr>
          <w:p>
            <w:pPr>
              <w:rPr>
                <w:rFonts w:ascii="宋体" w:hAnsi="宋体" w:cs="宋体"/>
                <w:szCs w:val="21"/>
                <w:shd w:val="clear" w:color="auto" w:fill="FFFFFF"/>
              </w:rPr>
            </w:pPr>
            <w:r>
              <w:rPr>
                <w:rFonts w:hint="eastAsia" w:ascii="宋体" w:hAnsi="宋体" w:cs="宋体"/>
                <w:color w:val="000000" w:themeColor="text1"/>
                <w:szCs w:val="21"/>
                <w14:textFill>
                  <w14:solidFill>
                    <w14:schemeClr w14:val="tx1"/>
                  </w14:solidFill>
                </w14:textFill>
              </w:rPr>
              <w:t>较可能</w:t>
            </w:r>
          </w:p>
        </w:tc>
        <w:tc>
          <w:tcPr>
            <w:tcW w:w="1092" w:type="dxa"/>
            <w:tcBorders>
              <w:left w:val="nil"/>
              <w:bottom w:val="nil"/>
              <w:right w:val="nil"/>
            </w:tcBorders>
          </w:tcPr>
          <w:p>
            <w:pPr>
              <w:rPr>
                <w:rFonts w:ascii="宋体" w:hAnsi="宋体" w:cs="宋体"/>
                <w:szCs w:val="21"/>
                <w:shd w:val="clear" w:color="auto" w:fill="FFFFFF"/>
              </w:rPr>
            </w:pPr>
            <w:r>
              <w:rPr>
                <w:rFonts w:hint="eastAsia" w:ascii="宋体" w:hAnsi="宋体" w:cs="宋体"/>
                <w:color w:val="000000" w:themeColor="text1"/>
                <w:szCs w:val="21"/>
                <w14:textFill>
                  <w14:solidFill>
                    <w14:schemeClr w14:val="tx1"/>
                  </w14:solidFill>
                </w14:textFill>
              </w:rPr>
              <w:t>基本确定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nil"/>
              <w:left w:val="nil"/>
              <w:bottom w:val="single" w:color="auto" w:sz="4" w:space="0"/>
              <w:right w:val="nil"/>
            </w:tcBorders>
          </w:tcPr>
          <w:p>
            <w:pPr>
              <w:rPr>
                <w:rFonts w:ascii="宋体" w:hAnsi="宋体" w:cs="宋体"/>
                <w:szCs w:val="21"/>
                <w:shd w:val="clear" w:color="auto" w:fill="FFFFFF"/>
              </w:rPr>
            </w:pPr>
            <w:r>
              <w:rPr>
                <w:rFonts w:hint="eastAsia" w:ascii="宋体" w:hAnsi="宋体" w:cs="宋体"/>
                <w:szCs w:val="21"/>
                <w:shd w:val="clear" w:color="auto" w:fill="FFFFFF"/>
              </w:rPr>
              <w:t>发生频率</w:t>
            </w:r>
          </w:p>
        </w:tc>
        <w:tc>
          <w:tcPr>
            <w:tcW w:w="850" w:type="dxa"/>
            <w:tcBorders>
              <w:top w:val="nil"/>
              <w:left w:val="nil"/>
              <w:bottom w:val="single" w:color="auto" w:sz="4" w:space="0"/>
              <w:right w:val="nil"/>
            </w:tcBorders>
          </w:tcPr>
          <w:p>
            <w:pPr>
              <w:rPr>
                <w:szCs w:val="21"/>
                <w:shd w:val="clear" w:color="auto" w:fill="FFFFFF"/>
              </w:rPr>
            </w:pPr>
            <w:r>
              <w:rPr>
                <w:rFonts w:hint="eastAsia" w:ascii="宋体" w:hAnsi="宋体" w:cs="宋体"/>
                <w:color w:val="000000" w:themeColor="text1"/>
                <w:szCs w:val="21"/>
                <w14:textFill>
                  <w14:solidFill>
                    <w14:schemeClr w14:val="tx1"/>
                  </w14:solidFill>
                </w14:textFill>
              </w:rPr>
              <w:t>极少</w:t>
            </w:r>
          </w:p>
        </w:tc>
        <w:tc>
          <w:tcPr>
            <w:tcW w:w="900" w:type="dxa"/>
            <w:tcBorders>
              <w:top w:val="nil"/>
              <w:left w:val="nil"/>
              <w:bottom w:val="single" w:color="auto" w:sz="4" w:space="0"/>
              <w:right w:val="nil"/>
            </w:tcBorders>
          </w:tcPr>
          <w:p>
            <w:pPr>
              <w:rPr>
                <w:szCs w:val="21"/>
                <w:shd w:val="clear" w:color="auto" w:fill="FFFFFF"/>
              </w:rPr>
            </w:pPr>
            <w:r>
              <w:rPr>
                <w:rFonts w:hint="eastAsia" w:ascii="宋体" w:hAnsi="宋体" w:cs="宋体"/>
                <w:color w:val="000000" w:themeColor="text1"/>
                <w:szCs w:val="21"/>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较少</w:t>
            </w:r>
          </w:p>
        </w:tc>
        <w:tc>
          <w:tcPr>
            <w:tcW w:w="642" w:type="dxa"/>
            <w:tcBorders>
              <w:top w:val="nil"/>
              <w:left w:val="nil"/>
              <w:bottom w:val="single" w:color="auto" w:sz="4" w:space="0"/>
              <w:right w:val="nil"/>
            </w:tcBorders>
          </w:tcPr>
          <w:p>
            <w:pPr>
              <w:rPr>
                <w:szCs w:val="21"/>
                <w:shd w:val="clear" w:color="auto" w:fill="FFFFFF"/>
              </w:rPr>
            </w:pPr>
            <w:r>
              <w:rPr>
                <w:rFonts w:ascii="宋体" w:hAnsi="宋体" w:cs="宋体"/>
                <w:color w:val="000000" w:themeColor="text1"/>
                <w:szCs w:val="21"/>
                <w14:textFill>
                  <w14:solidFill>
                    <w14:schemeClr w14:val="tx1"/>
                  </w14:solidFill>
                </w14:textFill>
              </w:rPr>
              <w:t>一般</w:t>
            </w:r>
          </w:p>
        </w:tc>
        <w:tc>
          <w:tcPr>
            <w:tcW w:w="883" w:type="dxa"/>
            <w:tcBorders>
              <w:top w:val="nil"/>
              <w:left w:val="nil"/>
              <w:bottom w:val="single" w:color="auto" w:sz="4" w:space="0"/>
              <w:right w:val="nil"/>
            </w:tcBorders>
          </w:tcPr>
          <w:p>
            <w:pPr>
              <w:rPr>
                <w:szCs w:val="21"/>
                <w:shd w:val="clear" w:color="auto" w:fill="FFFFFF"/>
              </w:rPr>
            </w:pPr>
            <w:r>
              <w:rPr>
                <w:rFonts w:ascii="宋体" w:hAnsi="宋体" w:cs="宋体"/>
                <w:color w:val="000000" w:themeColor="text1"/>
                <w:szCs w:val="21"/>
                <w14:textFill>
                  <w14:solidFill>
                    <w14:schemeClr w14:val="tx1"/>
                  </w14:solidFill>
                </w14:textFill>
              </w:rPr>
              <w:t>经常</w:t>
            </w:r>
          </w:p>
        </w:tc>
        <w:tc>
          <w:tcPr>
            <w:tcW w:w="1092" w:type="dxa"/>
            <w:tcBorders>
              <w:top w:val="nil"/>
              <w:left w:val="nil"/>
              <w:bottom w:val="single" w:color="auto" w:sz="4" w:space="0"/>
              <w:right w:val="nil"/>
            </w:tcBorders>
          </w:tcPr>
          <w:p>
            <w:pPr>
              <w:rPr>
                <w:szCs w:val="21"/>
                <w:shd w:val="clear" w:color="auto" w:fill="FFFFFF"/>
              </w:rPr>
            </w:pPr>
            <w:r>
              <w:rPr>
                <w:rFonts w:ascii="宋体" w:hAnsi="宋体" w:cs="宋体"/>
                <w:color w:val="000000" w:themeColor="text1"/>
                <w:szCs w:val="21"/>
                <w14:textFill>
                  <w14:solidFill>
                    <w14:schemeClr w14:val="tx1"/>
                  </w14:solidFill>
                </w14:textFill>
              </w:rPr>
              <w:t>较经常</w:t>
            </w:r>
          </w:p>
        </w:tc>
      </w:tr>
    </w:tbl>
    <w:p>
      <w:pPr>
        <w:rPr>
          <w:rFonts w:ascii="宋体" w:hAnsi="宋体" w:cs="宋体"/>
          <w:shd w:val="clear" w:color="auto" w:fill="FFFFFF"/>
        </w:rPr>
      </w:pPr>
    </w:p>
    <w:p>
      <w:pPr>
        <w:rPr>
          <w:rFonts w:ascii="宋体" w:hAnsi="宋体" w:cs="宋体"/>
          <w:sz w:val="24"/>
          <w:shd w:val="clear" w:color="auto" w:fill="FFFFFF"/>
        </w:rPr>
      </w:pPr>
    </w:p>
    <w:p>
      <w:pPr>
        <w:ind w:firstLine="480" w:firstLineChars="200"/>
        <w:rPr>
          <w:rFonts w:ascii="宋体" w:hAnsi="宋体" w:cs="宋体"/>
          <w:sz w:val="24"/>
          <w:shd w:val="clear" w:color="auto" w:fill="FFFFFF"/>
        </w:rPr>
      </w:pPr>
    </w:p>
    <w:p>
      <w:pPr>
        <w:ind w:firstLine="480" w:firstLineChars="200"/>
        <w:rPr>
          <w:rFonts w:ascii="宋体" w:hAnsi="宋体" w:cs="宋体"/>
          <w:sz w:val="24"/>
          <w:shd w:val="clear" w:color="auto" w:fill="FFFFFF"/>
        </w:rPr>
      </w:pPr>
    </w:p>
    <w:p>
      <w:pPr>
        <w:ind w:firstLine="480" w:firstLineChars="200"/>
        <w:rPr>
          <w:rFonts w:ascii="宋体" w:hAnsi="宋体" w:cs="宋体"/>
          <w:sz w:val="24"/>
        </w:rPr>
      </w:pPr>
      <w:r>
        <w:rPr>
          <w:rFonts w:hint="eastAsia" w:ascii="宋体" w:hAnsi="宋体" w:cs="宋体"/>
          <w:sz w:val="24"/>
          <w:shd w:val="clear" w:color="auto" w:fill="FFFFFF"/>
        </w:rPr>
        <w:t>外贸供应链风险调查问卷包括基本信息、供应链风险及区块链知识三部分，向外贸相关人员进行调查统计。采用纸质问卷、电子邮件、微信以及问卷星等工具，收集到有效的外贸供应链风险调查问卷总计215份，统计出外贸供应链风险发生的概率与频率。</w:t>
      </w:r>
    </w:p>
    <w:p>
      <w:pPr>
        <w:spacing w:line="240" w:lineRule="auto"/>
        <w:rPr>
          <w:rFonts w:ascii="宋体" w:hAnsi="宋体" w:cs="宋体"/>
          <w:b/>
          <w:sz w:val="30"/>
          <w:szCs w:val="30"/>
        </w:rPr>
      </w:pPr>
      <w:r>
        <w:rPr>
          <w:rFonts w:hint="eastAsia" w:ascii="宋体" w:hAnsi="宋体" w:cs="宋体"/>
          <w:b/>
          <w:sz w:val="30"/>
          <w:szCs w:val="30"/>
        </w:rPr>
        <w:t>4</w:t>
      </w:r>
      <w:r>
        <w:rPr>
          <w:rFonts w:hint="eastAsia"/>
          <w:b/>
          <w:sz w:val="30"/>
          <w:szCs w:val="30"/>
        </w:rPr>
        <w:t>实验结果和分析</w:t>
      </w:r>
    </w:p>
    <w:p>
      <w:pPr>
        <w:ind w:firstLine="480" w:firstLineChars="200"/>
        <w:rPr>
          <w:rFonts w:ascii="宋体" w:hAnsi="宋体" w:cs="宋体"/>
          <w:sz w:val="24"/>
          <w:shd w:val="clear" w:color="auto" w:fill="FFFFFF"/>
        </w:rPr>
      </w:pPr>
      <w:r>
        <w:rPr>
          <w:rFonts w:hint="eastAsia" w:ascii="宋体" w:hAnsi="宋体" w:cs="宋体"/>
          <w:sz w:val="24"/>
          <w:shd w:val="clear" w:color="auto" w:fill="FFFFFF"/>
        </w:rPr>
        <w:t>采用</w:t>
      </w:r>
      <w:r>
        <w:rPr>
          <w:rStyle w:val="13"/>
          <w:rFonts w:hint="eastAsia" w:ascii="宋体" w:hAnsi="宋体" w:cs="宋体"/>
          <w:i w:val="0"/>
          <w:iCs w:val="0"/>
          <w:sz w:val="24"/>
          <w:shd w:val="clear" w:color="auto" w:fill="FFFFFF"/>
        </w:rPr>
        <w:t>DEMATEL模型，对供应链风险直接影响矩阵进行一系列计算，最终</w:t>
      </w:r>
      <w:r>
        <w:rPr>
          <w:rFonts w:hint="eastAsia" w:ascii="宋体" w:hAnsi="宋体" w:cs="宋体"/>
          <w:sz w:val="24"/>
          <w:shd w:val="clear" w:color="auto" w:fill="FFFFFF"/>
        </w:rPr>
        <w:t>求出综合影响矩阵；计算出外贸供应链风险的各个度量标准值，即外贸供应链风险的影响度、被影响度以及中心度与原因度；并绘制出供应链风险的散点图。借助调查问卷统计出供应链风险发生的概率和频率，最终计算出外贸供应链风险值。</w:t>
      </w:r>
    </w:p>
    <w:p>
      <w:pPr>
        <w:spacing w:line="240" w:lineRule="auto"/>
        <w:jc w:val="left"/>
        <w:rPr>
          <w:rFonts w:ascii="宋体" w:hAnsi="宋体" w:cs="宋体"/>
          <w:b/>
          <w:sz w:val="28"/>
          <w:szCs w:val="28"/>
          <w:shd w:val="clear" w:color="auto" w:fill="FFFFFF"/>
        </w:rPr>
      </w:pPr>
      <w:r>
        <w:rPr>
          <w:rFonts w:hint="eastAsia" w:ascii="宋体" w:hAnsi="宋体" w:cs="宋体"/>
          <w:b/>
          <w:sz w:val="28"/>
          <w:szCs w:val="28"/>
          <w:shd w:val="clear" w:color="auto" w:fill="FFFFFF"/>
        </w:rPr>
        <w:t xml:space="preserve">4.1综合影响矩阵 </w:t>
      </w:r>
    </w:p>
    <w:tbl>
      <w:tblPr>
        <w:tblStyle w:val="8"/>
        <w:tblpPr w:leftFromText="180" w:rightFromText="180" w:vertAnchor="text" w:horzAnchor="page" w:tblpX="2006" w:tblpY="172"/>
        <w:tblOverlap w:val="never"/>
        <w:tblW w:w="4675" w:type="pct"/>
        <w:tblInd w:w="0" w:type="dxa"/>
        <w:tblLayout w:type="fixed"/>
        <w:tblCellMar>
          <w:top w:w="0" w:type="dxa"/>
          <w:left w:w="0" w:type="dxa"/>
          <w:bottom w:w="0" w:type="dxa"/>
          <w:right w:w="0" w:type="dxa"/>
        </w:tblCellMar>
      </w:tblPr>
      <w:tblGrid>
        <w:gridCol w:w="862"/>
        <w:gridCol w:w="642"/>
        <w:gridCol w:w="393"/>
        <w:gridCol w:w="393"/>
        <w:gridCol w:w="393"/>
        <w:gridCol w:w="393"/>
        <w:gridCol w:w="393"/>
        <w:gridCol w:w="393"/>
        <w:gridCol w:w="393"/>
        <w:gridCol w:w="393"/>
        <w:gridCol w:w="393"/>
        <w:gridCol w:w="392"/>
        <w:gridCol w:w="392"/>
        <w:gridCol w:w="392"/>
        <w:gridCol w:w="392"/>
        <w:gridCol w:w="392"/>
        <w:gridCol w:w="392"/>
        <w:gridCol w:w="392"/>
      </w:tblGrid>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ind w:firstLine="300" w:firstLineChars="200"/>
              <w:rPr>
                <w:sz w:val="10"/>
                <w:szCs w:val="10"/>
                <w:shd w:val="clear" w:color="auto" w:fill="FFFFFF"/>
              </w:rPr>
            </w:pPr>
            <w:r>
              <w:rPr>
                <w:rFonts w:hint="eastAsia"/>
                <w:sz w:val="15"/>
                <w:szCs w:val="15"/>
                <w:shd w:val="clear" w:color="auto" w:fill="FFFFFF"/>
              </w:rPr>
              <w:t>M</w:t>
            </w:r>
            <w:r>
              <w:rPr>
                <w:rFonts w:hint="eastAsia"/>
                <w:sz w:val="15"/>
                <w:szCs w:val="15"/>
                <w:shd w:val="clear" w:color="auto" w:fill="FFFFFF"/>
                <w:vertAlign w:val="subscript"/>
              </w:rPr>
              <w:t>16X16</w:t>
            </w:r>
          </w:p>
        </w:tc>
        <w:tc>
          <w:tcPr>
            <w:tcW w:w="41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2</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3</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4</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5</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6</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7</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8</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9</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10</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11</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12</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13</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14</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15</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16</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SUM</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w:t>
            </w:r>
          </w:p>
        </w:tc>
        <w:tc>
          <w:tcPr>
            <w:tcW w:w="412" w:type="pct"/>
            <w:tcBorders>
              <w:top w:val="single" w:color="auto" w:sz="4" w:space="0"/>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0.196</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0.278</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0.241</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0.151</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0.231</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0.191</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0.236</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0.125</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0.208</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0.255</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0.257</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0.089</w:t>
            </w:r>
          </w:p>
        </w:tc>
        <w:tc>
          <w:tcPr>
            <w:tcW w:w="252" w:type="pct"/>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0.131</w:t>
            </w:r>
          </w:p>
        </w:tc>
        <w:tc>
          <w:tcPr>
            <w:tcW w:w="252" w:type="pct"/>
            <w:tcBorders>
              <w:top w:val="single" w:color="auto" w:sz="4" w:space="0"/>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0.121</w:t>
            </w:r>
          </w:p>
        </w:tc>
        <w:tc>
          <w:tcPr>
            <w:tcW w:w="252" w:type="pct"/>
            <w:tcBorders>
              <w:top w:val="single" w:color="auto" w:sz="4" w:space="0"/>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3.07</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2</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0.303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0.268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0.304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0.279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0.091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0.138</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0.132</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3.439</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3</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0.253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0.168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0.104</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0.115</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2.869</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4</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0.274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0.257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0.255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0.253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0.169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0.275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0.088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0.109</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0.124</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3.17</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5</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0.163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0.165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0.251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0.102</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0.113</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2.798</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6</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0.093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0.101</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0.112</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2.669</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7</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0.105</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0.109</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2.659</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8</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0.104</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0.105</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2.54</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9</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0.098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0.164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0.093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0.166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0.169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0.09</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0.097</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2.26</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10</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0.144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0.093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0.058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0.141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0.059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0.068</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0.087</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1.737</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11</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0.066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0.089</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2.349</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12</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0.105</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0.117</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2.828</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13</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0.103</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0.117</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2.832</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14</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0.232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0.154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0.145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0.145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0.213</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0.211</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0.057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0.099</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0.111</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2.728</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15</w:t>
            </w:r>
          </w:p>
        </w:tc>
        <w:tc>
          <w:tcPr>
            <w:tcW w:w="412" w:type="pct"/>
            <w:tcBorders>
              <w:top w:val="nil"/>
              <w:left w:val="single" w:color="auto" w:sz="4" w:space="0"/>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0.224</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0.127</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0.128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0.166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0.148</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0.132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0.172</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0.209</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0.195</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0.086</w:t>
            </w:r>
          </w:p>
        </w:tc>
        <w:tc>
          <w:tcPr>
            <w:tcW w:w="252" w:type="pct"/>
            <w:tcBorders>
              <w:top w:val="nil"/>
              <w:left w:val="nil"/>
              <w:bottom w:val="nil"/>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0.072</w:t>
            </w:r>
          </w:p>
        </w:tc>
        <w:tc>
          <w:tcPr>
            <w:tcW w:w="252" w:type="pct"/>
            <w:tcBorders>
              <w:top w:val="nil"/>
              <w:left w:val="nil"/>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0.106</w:t>
            </w:r>
          </w:p>
        </w:tc>
        <w:tc>
          <w:tcPr>
            <w:tcW w:w="252" w:type="pct"/>
            <w:tcBorders>
              <w:top w:val="nil"/>
              <w:left w:val="single" w:color="auto" w:sz="4" w:space="0"/>
              <w:bottom w:val="nil"/>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2.57</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F</w:t>
            </w:r>
            <w:r>
              <w:rPr>
                <w:rFonts w:eastAsia="等线"/>
                <w:color w:val="000000"/>
                <w:kern w:val="0"/>
                <w:sz w:val="16"/>
                <w:szCs w:val="16"/>
                <w:vertAlign w:val="subscript"/>
                <w:lang w:bidi="ar"/>
              </w:rPr>
              <w:t>16</w:t>
            </w:r>
          </w:p>
        </w:tc>
        <w:tc>
          <w:tcPr>
            <w:tcW w:w="412" w:type="pct"/>
            <w:tcBorders>
              <w:top w:val="nil"/>
              <w:left w:val="single" w:color="auto" w:sz="4" w:space="0"/>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0.296</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0.283</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0.288</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0.208</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0.282</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0.194</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0.248</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0.229</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0.286</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0.183</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0.248</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0.307</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0.278</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0.112</w:t>
            </w:r>
          </w:p>
        </w:tc>
        <w:tc>
          <w:tcPr>
            <w:tcW w:w="252" w:type="pct"/>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0.148</w:t>
            </w:r>
          </w:p>
        </w:tc>
        <w:tc>
          <w:tcPr>
            <w:tcW w:w="252" w:type="pct"/>
            <w:tcBorders>
              <w:top w:val="nil"/>
              <w:left w:val="nil"/>
              <w:bottom w:val="single" w:color="auto" w:sz="4" w:space="0"/>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0.111</w:t>
            </w:r>
          </w:p>
        </w:tc>
        <w:tc>
          <w:tcPr>
            <w:tcW w:w="252" w:type="pct"/>
            <w:tcBorders>
              <w:top w:val="nil"/>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3.7</w:t>
            </w:r>
          </w:p>
        </w:tc>
      </w:tr>
      <w:tr>
        <w:tblPrEx>
          <w:tblCellMar>
            <w:top w:w="0" w:type="dxa"/>
            <w:left w:w="0" w:type="dxa"/>
            <w:bottom w:w="0" w:type="dxa"/>
            <w:right w:w="0" w:type="dxa"/>
          </w:tblCellMar>
        </w:tblPrEx>
        <w:trPr>
          <w:trHeight w:val="280" w:hRule="atLeast"/>
        </w:trPr>
        <w:tc>
          <w:tcPr>
            <w:tcW w:w="553"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widowControl/>
              <w:jc w:val="center"/>
              <w:textAlignment w:val="bottom"/>
              <w:rPr>
                <w:rFonts w:eastAsia="等线"/>
                <w:color w:val="000000"/>
                <w:kern w:val="0"/>
                <w:sz w:val="16"/>
                <w:szCs w:val="16"/>
                <w:lang w:bidi="ar"/>
              </w:rPr>
            </w:pPr>
            <w:r>
              <w:rPr>
                <w:rFonts w:eastAsia="等线"/>
                <w:color w:val="000000"/>
                <w:kern w:val="0"/>
                <w:sz w:val="16"/>
                <w:szCs w:val="16"/>
                <w:lang w:bidi="ar"/>
              </w:rPr>
              <w:t>SUM</w:t>
            </w:r>
          </w:p>
        </w:tc>
        <w:tc>
          <w:tcPr>
            <w:tcW w:w="412" w:type="pct"/>
            <w:tcBorders>
              <w:top w:val="single" w:color="auto" w:sz="4" w:space="0"/>
              <w:left w:val="single" w:color="auto" w:sz="4" w:space="0"/>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3.73</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3.562</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3.558</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2.199</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3.48</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2.074</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2.928</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2.632</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3.438</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1.961</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3.069</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3.627</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3.27</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1.242</w:t>
            </w:r>
          </w:p>
        </w:tc>
        <w:tc>
          <w:tcPr>
            <w:tcW w:w="252" w:type="pct"/>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1.669</w:t>
            </w:r>
          </w:p>
        </w:tc>
        <w:tc>
          <w:tcPr>
            <w:tcW w:w="252" w:type="pct"/>
            <w:tcBorders>
              <w:top w:val="single" w:color="auto" w:sz="4" w:space="0"/>
              <w:left w:val="nil"/>
              <w:bottom w:val="single" w:color="auto" w:sz="4" w:space="0"/>
              <w:right w:val="single" w:color="auto" w:sz="4" w:space="0"/>
            </w:tcBorders>
            <w:shd w:val="clear" w:color="auto" w:fill="auto"/>
            <w:noWrap/>
            <w:tcMar>
              <w:top w:w="10" w:type="dxa"/>
              <w:left w:w="10" w:type="dxa"/>
              <w:right w:w="10" w:type="dxa"/>
            </w:tcMar>
            <w:vAlign w:val="bottom"/>
          </w:tcPr>
          <w:p>
            <w:pPr>
              <w:widowControl/>
              <w:jc w:val="right"/>
              <w:textAlignment w:val="bottom"/>
              <w:rPr>
                <w:rFonts w:eastAsia="等线"/>
                <w:color w:val="000000"/>
                <w:sz w:val="16"/>
                <w:szCs w:val="16"/>
              </w:rPr>
            </w:pPr>
            <w:r>
              <w:rPr>
                <w:rFonts w:eastAsia="等线"/>
                <w:color w:val="000000"/>
                <w:kern w:val="0"/>
                <w:sz w:val="16"/>
                <w:szCs w:val="16"/>
                <w:lang w:bidi="ar"/>
              </w:rPr>
              <w:t>1.777</w:t>
            </w:r>
          </w:p>
        </w:tc>
        <w:tc>
          <w:tcPr>
            <w:tcW w:w="252" w:type="pct"/>
            <w:tcBorders>
              <w:top w:val="single" w:color="auto" w:sz="4" w:space="0"/>
              <w:left w:val="single" w:color="auto" w:sz="4" w:space="0"/>
              <w:bottom w:val="single" w:color="auto" w:sz="4" w:space="0"/>
              <w:right w:val="single" w:color="auto" w:sz="4" w:space="0"/>
            </w:tcBorders>
            <w:shd w:val="clear" w:color="auto" w:fill="auto"/>
            <w:noWrap/>
            <w:tcMar>
              <w:top w:w="10" w:type="dxa"/>
              <w:left w:w="10" w:type="dxa"/>
              <w:right w:w="10" w:type="dxa"/>
            </w:tcMar>
            <w:vAlign w:val="bottom"/>
          </w:tcPr>
          <w:p>
            <w:pPr>
              <w:rPr>
                <w:rFonts w:eastAsia="等线"/>
                <w:color w:val="000000"/>
                <w:sz w:val="16"/>
                <w:szCs w:val="16"/>
              </w:rPr>
            </w:pPr>
          </w:p>
        </w:tc>
      </w:tr>
    </w:tbl>
    <w:p>
      <w:pPr>
        <w:ind w:firstLine="422" w:firstLineChars="200"/>
        <w:jc w:val="center"/>
        <w:rPr>
          <w:rFonts w:ascii="宋体" w:hAnsi="宋体" w:cs="宋体"/>
          <w:b/>
          <w:bCs/>
          <w:szCs w:val="21"/>
          <w:shd w:val="clear" w:color="auto" w:fill="FFFFFF"/>
        </w:rPr>
      </w:pPr>
    </w:p>
    <w:p>
      <w:pPr>
        <w:ind w:firstLine="422" w:firstLineChars="200"/>
        <w:jc w:val="center"/>
        <w:rPr>
          <w:rFonts w:ascii="宋体" w:hAnsi="宋体" w:cs="宋体"/>
          <w:b/>
          <w:bCs/>
          <w:szCs w:val="21"/>
          <w:shd w:val="clear" w:color="auto" w:fill="FFFFFF"/>
        </w:rPr>
      </w:pPr>
      <w:r>
        <w:rPr>
          <w:rFonts w:hint="eastAsia" w:ascii="宋体" w:hAnsi="宋体" w:cs="宋体"/>
          <w:b/>
          <w:bCs/>
          <w:szCs w:val="21"/>
        </w:rPr>
        <mc:AlternateContent>
          <mc:Choice Requires="wps">
            <w:drawing>
              <wp:anchor distT="0" distB="0" distL="114300" distR="114300" simplePos="0" relativeHeight="251659264" behindDoc="0" locked="0" layoutInCell="1" allowOverlap="1">
                <wp:simplePos x="0" y="0"/>
                <wp:positionH relativeFrom="column">
                  <wp:posOffset>-4801870</wp:posOffset>
                </wp:positionH>
                <wp:positionV relativeFrom="paragraph">
                  <wp:posOffset>97790</wp:posOffset>
                </wp:positionV>
                <wp:extent cx="254000" cy="195580"/>
                <wp:effectExtent l="3175" t="3810" r="9525" b="3810"/>
                <wp:wrapNone/>
                <wp:docPr id="5" name="直接连接符 5"/>
                <wp:cNvGraphicFramePr/>
                <a:graphic xmlns:a="http://schemas.openxmlformats.org/drawingml/2006/main">
                  <a:graphicData uri="http://schemas.microsoft.com/office/word/2010/wordprocessingShape">
                    <wps:wsp>
                      <wps:cNvCnPr/>
                      <wps:spPr>
                        <a:xfrm>
                          <a:off x="1381125" y="2902585"/>
                          <a:ext cx="254000" cy="1955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78.1pt;margin-top:7.7pt;height:15.4pt;width:20pt;z-index:251659264;mso-width-relative:page;mso-height-relative:page;" filled="f" stroked="t" coordsize="21600,21600" o:gfxdata="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BPcZ2AAAAAsBAAAPAAAAAAAAAAEAIAAAACIAAABkcnMvZG93bnJldi54bWxQSwEC&#10;FAAUAAAACACHTuJAN2/PUvQBAADBAwAADgAAAAAAAAABACAAAAAnAQAAZHJzL2Uyb0RvYy54bWxQ&#10;SwUGAAAAAAYABgBZAQAAjQUAAAAA&#10;">
                <v:fill on="f" focussize="0,0"/>
                <v:stroke weight="0.5pt" color="#000000 [3200]" miterlimit="8" joinstyle="miter"/>
                <v:imagedata o:title=""/>
                <o:lock v:ext="edit" aspectratio="f"/>
              </v:line>
            </w:pict>
          </mc:Fallback>
        </mc:AlternateContent>
      </w:r>
      <w:r>
        <w:rPr>
          <w:rFonts w:hint="eastAsia" w:ascii="宋体" w:hAnsi="宋体" w:cs="宋体"/>
          <w:b/>
          <w:bCs/>
          <w:szCs w:val="21"/>
          <w:shd w:val="clear" w:color="auto" w:fill="FFFFFF"/>
        </w:rPr>
        <w:t>图1  外贸供应链风险</w:t>
      </w:r>
      <w:r>
        <w:rPr>
          <w:rFonts w:hint="eastAsia" w:ascii="宋体" w:hAnsi="宋体" w:cs="宋体"/>
          <w:b/>
          <w:bCs/>
          <w:szCs w:val="21"/>
          <w:shd w:val="clear" w:color="auto" w:fill="FFFFFF"/>
          <w:lang w:val="en-US" w:eastAsia="zh-CN"/>
        </w:rPr>
        <w:t>综合影响</w:t>
      </w:r>
      <w:r>
        <w:rPr>
          <w:rFonts w:hint="eastAsia" w:ascii="宋体" w:hAnsi="宋体" w:cs="宋体"/>
          <w:b/>
          <w:bCs/>
          <w:szCs w:val="21"/>
          <w:shd w:val="clear" w:color="auto" w:fill="FFFFFF"/>
        </w:rPr>
        <w:t>矩阵</w:t>
      </w:r>
    </w:p>
    <w:p>
      <w:pPr>
        <w:ind w:firstLine="562"/>
        <w:rPr>
          <w:rFonts w:hint="eastAsia" w:ascii="宋体" w:hAnsi="宋体" w:cs="宋体"/>
          <w:b w:val="0"/>
          <w:bCs/>
          <w:sz w:val="24"/>
          <w:szCs w:val="24"/>
          <w:shd w:val="clear" w:color="auto" w:fill="FFFFFF"/>
          <w:lang w:val="en-US" w:eastAsia="zh-CN"/>
        </w:rPr>
      </w:pPr>
    </w:p>
    <w:p>
      <w:pPr>
        <w:ind w:firstLine="562"/>
        <w:rPr>
          <w:rFonts w:hint="eastAsia" w:ascii="宋体" w:hAnsi="宋体" w:cs="宋体"/>
          <w:b w:val="0"/>
          <w:bCs/>
          <w:sz w:val="24"/>
          <w:szCs w:val="24"/>
          <w:shd w:val="clear" w:color="auto" w:fill="FFFFFF"/>
          <w:lang w:val="en-US" w:eastAsia="zh-CN"/>
        </w:rPr>
      </w:pPr>
      <w:r>
        <w:rPr>
          <w:rFonts w:hint="eastAsia" w:ascii="宋体" w:hAnsi="宋体" w:cs="宋体"/>
          <w:b w:val="0"/>
          <w:bCs/>
          <w:sz w:val="24"/>
          <w:szCs w:val="24"/>
          <w:shd w:val="clear" w:color="auto" w:fill="FFFFFF"/>
          <w:lang w:val="en-US" w:eastAsia="zh-CN"/>
        </w:rPr>
        <w:t>外贸供应链风险综合影响矩阵中，横向求和表示这个影响因素的影响度，纵向求和表示这个影响因素的被影响度。图1明确16个主要影响因素之间的相互影响关系，并用量化的形式表现出来。</w:t>
      </w:r>
    </w:p>
    <w:p>
      <w:pPr>
        <w:rPr>
          <w:rFonts w:ascii="宋体" w:hAnsi="宋体" w:cs="宋体"/>
          <w:b/>
          <w:sz w:val="28"/>
          <w:szCs w:val="28"/>
          <w:shd w:val="clear" w:color="auto" w:fill="FFFFFF"/>
        </w:rPr>
      </w:pPr>
      <w:r>
        <w:rPr>
          <w:rFonts w:hint="eastAsia" w:ascii="宋体" w:hAnsi="宋体" w:cs="宋体"/>
          <w:b/>
          <w:sz w:val="28"/>
          <w:szCs w:val="28"/>
          <w:shd w:val="clear" w:color="auto" w:fill="FFFFFF"/>
        </w:rPr>
        <w:t>4.2影响度、被影响度以及中心度与原因度</w:t>
      </w:r>
    </w:p>
    <w:p>
      <w:pPr>
        <w:ind w:firstLine="422" w:firstLineChars="200"/>
        <w:jc w:val="center"/>
        <w:rPr>
          <w:rFonts w:ascii="宋体" w:hAnsi="宋体" w:cs="宋体"/>
          <w:b/>
          <w:bCs/>
          <w:szCs w:val="21"/>
          <w:shd w:val="clear" w:color="auto" w:fill="FFFFFF"/>
        </w:rPr>
      </w:pPr>
      <w:r>
        <w:rPr>
          <w:rFonts w:hint="eastAsia" w:ascii="宋体" w:hAnsi="宋体" w:cs="宋体"/>
          <w:b/>
          <w:bCs/>
          <w:szCs w:val="21"/>
          <w:shd w:val="clear" w:color="auto" w:fill="FFFFFF"/>
        </w:rPr>
        <w:t>表3 外贸供应链风险度量标准值</w:t>
      </w:r>
    </w:p>
    <w:tbl>
      <w:tblPr>
        <w:tblStyle w:val="8"/>
        <w:tblpPr w:leftFromText="180" w:rightFromText="180" w:vertAnchor="text" w:horzAnchor="page" w:tblpX="4194" w:tblpY="157"/>
        <w:tblOverlap w:val="never"/>
        <w:tblW w:w="4025" w:type="dxa"/>
        <w:tblInd w:w="0" w:type="dxa"/>
        <w:tblLayout w:type="fixed"/>
        <w:tblCellMar>
          <w:top w:w="0" w:type="dxa"/>
          <w:left w:w="0" w:type="dxa"/>
          <w:bottom w:w="0" w:type="dxa"/>
          <w:right w:w="0" w:type="dxa"/>
        </w:tblCellMar>
      </w:tblPr>
      <w:tblGrid>
        <w:gridCol w:w="942"/>
        <w:gridCol w:w="716"/>
        <w:gridCol w:w="867"/>
        <w:gridCol w:w="750"/>
        <w:gridCol w:w="750"/>
      </w:tblGrid>
      <w:tr>
        <w:tblPrEx>
          <w:tblCellMar>
            <w:top w:w="0" w:type="dxa"/>
            <w:left w:w="0" w:type="dxa"/>
            <w:bottom w:w="0" w:type="dxa"/>
            <w:right w:w="0" w:type="dxa"/>
          </w:tblCellMar>
        </w:tblPrEx>
        <w:trPr>
          <w:trHeight w:val="280" w:hRule="atLeast"/>
        </w:trPr>
        <w:tc>
          <w:tcPr>
            <w:tcW w:w="942" w:type="dxa"/>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wordWrap w:val="0"/>
              <w:jc w:val="center"/>
              <w:textAlignment w:val="bottom"/>
              <w:rPr>
                <w:rFonts w:ascii="等线" w:hAnsi="等线" w:eastAsia="等线" w:cs="等线"/>
                <w:color w:val="000000"/>
                <w:kern w:val="0"/>
                <w:sz w:val="16"/>
                <w:szCs w:val="16"/>
                <w:lang w:bidi="ar"/>
              </w:rPr>
            </w:pPr>
            <w:r>
              <w:rPr>
                <w:rFonts w:eastAsia="等线"/>
                <w:color w:val="000000"/>
                <w:kern w:val="0"/>
                <w:szCs w:val="21"/>
                <w:lang w:bidi="ar"/>
              </w:rPr>
              <w:t>M</w:t>
            </w:r>
            <w:r>
              <w:rPr>
                <w:rFonts w:eastAsia="等线"/>
                <w:color w:val="000000" w:themeColor="text1"/>
                <w:kern w:val="0"/>
                <w:szCs w:val="21"/>
                <w:vertAlign w:val="subscript"/>
                <w:lang w:bidi="ar"/>
                <w14:textFill>
                  <w14:solidFill>
                    <w14:schemeClr w14:val="tx1"/>
                  </w14:solidFill>
                </w14:textFill>
              </w:rPr>
              <w:t>16X4</w:t>
            </w:r>
          </w:p>
        </w:tc>
        <w:tc>
          <w:tcPr>
            <w:tcW w:w="716" w:type="dxa"/>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ascii="Segoe UI" w:hAnsi="Segoe UI" w:cs="Segoe UI"/>
                <w:szCs w:val="21"/>
                <w:shd w:val="clear" w:color="auto" w:fill="FFFFFF"/>
              </w:rPr>
              <w:t>影响度</w:t>
            </w:r>
          </w:p>
        </w:tc>
        <w:tc>
          <w:tcPr>
            <w:tcW w:w="867" w:type="dxa"/>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ascii="Segoe UI" w:hAnsi="Segoe UI" w:cs="Segoe UI"/>
                <w:szCs w:val="21"/>
                <w:shd w:val="clear" w:color="auto" w:fill="FFFFFF"/>
              </w:rPr>
              <w:t>被影响度</w:t>
            </w:r>
          </w:p>
        </w:tc>
        <w:tc>
          <w:tcPr>
            <w:tcW w:w="750" w:type="dxa"/>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ascii="Segoe UI" w:hAnsi="Segoe UI" w:cs="Segoe UI"/>
                <w:szCs w:val="21"/>
                <w:shd w:val="clear" w:color="auto" w:fill="FFFFFF"/>
              </w:rPr>
              <w:t>中心度</w:t>
            </w:r>
          </w:p>
        </w:tc>
        <w:tc>
          <w:tcPr>
            <w:tcW w:w="750" w:type="dxa"/>
            <w:tcBorders>
              <w:top w:val="single" w:color="auto" w:sz="4" w:space="0"/>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ascii="Segoe UI" w:hAnsi="Segoe UI" w:cs="Segoe UI"/>
                <w:szCs w:val="21"/>
                <w:shd w:val="clear" w:color="auto" w:fill="FFFFFF"/>
              </w:rPr>
              <w:t>原因度</w:t>
            </w:r>
          </w:p>
        </w:tc>
      </w:tr>
      <w:tr>
        <w:tblPrEx>
          <w:tblCellMar>
            <w:top w:w="0" w:type="dxa"/>
            <w:left w:w="0" w:type="dxa"/>
            <w:bottom w:w="0" w:type="dxa"/>
            <w:right w:w="0" w:type="dxa"/>
          </w:tblCellMar>
        </w:tblPrEx>
        <w:trPr>
          <w:trHeight w:val="280" w:hRule="atLeast"/>
        </w:trPr>
        <w:tc>
          <w:tcPr>
            <w:tcW w:w="942" w:type="dxa"/>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运作成本</w:t>
            </w:r>
          </w:p>
        </w:tc>
        <w:tc>
          <w:tcPr>
            <w:tcW w:w="716" w:type="dxa"/>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3.07</w:t>
            </w:r>
          </w:p>
        </w:tc>
        <w:tc>
          <w:tcPr>
            <w:tcW w:w="867" w:type="dxa"/>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3.73</w:t>
            </w:r>
          </w:p>
        </w:tc>
        <w:tc>
          <w:tcPr>
            <w:tcW w:w="750" w:type="dxa"/>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6.8</w:t>
            </w:r>
          </w:p>
        </w:tc>
        <w:tc>
          <w:tcPr>
            <w:tcW w:w="750" w:type="dxa"/>
            <w:tcBorders>
              <w:top w:val="single" w:color="auto" w:sz="4" w:space="0"/>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-0.66</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ascii="宋体" w:hAnsi="宋体" w:cs="宋体"/>
                <w:color w:val="000000"/>
                <w:kern w:val="0"/>
                <w:szCs w:val="21"/>
                <w:lang w:bidi="ar"/>
              </w:rPr>
              <w:t>资金短缺</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3.439</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3.562</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7.001</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-0.123</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客户流失</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2.869</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3.558</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6.427</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-0.689</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物流受阻</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3.17</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2.199</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5.369</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0.971</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订单减少</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2.798</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3.48</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6.278</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-0.682</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原料短缺</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2.669</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2.074</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4.743</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0.595</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人员流失</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2.659</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2.928</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5.587</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-0.269</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产能不足</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2.54</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2.632</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5.172</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-0.092</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库存积压</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2.26</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3.438</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5.698</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-1.178</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报关手续</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1.737</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1.961</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3.698</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-0.224</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企业协作</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2.349</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3.069</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5.418</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-0.72</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延期交付</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2.828</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3.627</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6.455</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-0.799</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推迟付款</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2.832</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3.27</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6.102</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-0.438</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贸易壁垒</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2.728</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1.242</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3.97</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1.486</w:t>
            </w:r>
          </w:p>
        </w:tc>
      </w:tr>
      <w:tr>
        <w:tblPrEx>
          <w:tblCellMar>
            <w:top w:w="0" w:type="dxa"/>
            <w:left w:w="0" w:type="dxa"/>
            <w:bottom w:w="0" w:type="dxa"/>
            <w:right w:w="0" w:type="dxa"/>
          </w:tblCellMar>
        </w:tblPrEx>
        <w:trPr>
          <w:trHeight w:val="280" w:hRule="atLeast"/>
        </w:trPr>
        <w:tc>
          <w:tcPr>
            <w:tcW w:w="942"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安全环保</w:t>
            </w:r>
          </w:p>
        </w:tc>
        <w:tc>
          <w:tcPr>
            <w:tcW w:w="716"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2.57</w:t>
            </w:r>
          </w:p>
        </w:tc>
        <w:tc>
          <w:tcPr>
            <w:tcW w:w="867"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1.669</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4.239</w:t>
            </w:r>
          </w:p>
        </w:tc>
        <w:tc>
          <w:tcPr>
            <w:tcW w:w="750" w:type="dxa"/>
            <w:tcBorders>
              <w:top w:val="nil"/>
              <w:left w:val="nil"/>
              <w:bottom w:val="nil"/>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0.901</w:t>
            </w:r>
          </w:p>
        </w:tc>
      </w:tr>
      <w:tr>
        <w:tblPrEx>
          <w:tblCellMar>
            <w:top w:w="0" w:type="dxa"/>
            <w:left w:w="0" w:type="dxa"/>
            <w:bottom w:w="0" w:type="dxa"/>
            <w:right w:w="0" w:type="dxa"/>
          </w:tblCellMar>
        </w:tblPrEx>
        <w:trPr>
          <w:trHeight w:val="280" w:hRule="atLeast"/>
        </w:trPr>
        <w:tc>
          <w:tcPr>
            <w:tcW w:w="942" w:type="dxa"/>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ascii="等线" w:hAnsi="等线" w:eastAsia="等线" w:cs="等线"/>
                <w:color w:val="000000"/>
                <w:kern w:val="0"/>
                <w:szCs w:val="21"/>
                <w:lang w:bidi="ar"/>
              </w:rPr>
            </w:pPr>
            <w:r>
              <w:rPr>
                <w:rFonts w:hint="eastAsia"/>
                <w:szCs w:val="21"/>
                <w:shd w:val="clear" w:color="auto" w:fill="FFFFFF"/>
              </w:rPr>
              <w:t>不可抗力</w:t>
            </w:r>
          </w:p>
        </w:tc>
        <w:tc>
          <w:tcPr>
            <w:tcW w:w="716" w:type="dxa"/>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3.7</w:t>
            </w:r>
          </w:p>
        </w:tc>
        <w:tc>
          <w:tcPr>
            <w:tcW w:w="867" w:type="dxa"/>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1.777</w:t>
            </w:r>
          </w:p>
        </w:tc>
        <w:tc>
          <w:tcPr>
            <w:tcW w:w="750" w:type="dxa"/>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5.477</w:t>
            </w:r>
          </w:p>
        </w:tc>
        <w:tc>
          <w:tcPr>
            <w:tcW w:w="750" w:type="dxa"/>
            <w:tcBorders>
              <w:top w:val="nil"/>
              <w:left w:val="nil"/>
              <w:bottom w:val="single" w:color="auto" w:sz="4" w:space="0"/>
              <w:right w:val="nil"/>
            </w:tcBorders>
            <w:shd w:val="clear" w:color="auto" w:fill="auto"/>
            <w:noWrap/>
            <w:tcMar>
              <w:top w:w="10" w:type="dxa"/>
              <w:left w:w="10" w:type="dxa"/>
              <w:right w:w="10" w:type="dxa"/>
            </w:tcMar>
            <w:vAlign w:val="bottom"/>
          </w:tcPr>
          <w:p>
            <w:pPr>
              <w:widowControl/>
              <w:jc w:val="center"/>
              <w:textAlignment w:val="bottom"/>
              <w:rPr>
                <w:rFonts w:eastAsia="等线"/>
                <w:color w:val="000000"/>
                <w:szCs w:val="21"/>
              </w:rPr>
            </w:pPr>
            <w:r>
              <w:rPr>
                <w:rFonts w:eastAsia="等线"/>
                <w:color w:val="000000"/>
                <w:kern w:val="0"/>
                <w:szCs w:val="21"/>
                <w:lang w:bidi="ar"/>
              </w:rPr>
              <w:t>1.923</w:t>
            </w:r>
          </w:p>
        </w:tc>
      </w:tr>
    </w:tbl>
    <w:p>
      <w:pPr>
        <w:rPr>
          <w:rFonts w:ascii="宋体" w:hAnsi="宋体" w:cs="宋体"/>
          <w:sz w:val="24"/>
          <w:shd w:val="clear" w:color="auto" w:fill="FFFFFF"/>
        </w:rPr>
      </w:pPr>
    </w:p>
    <w:p>
      <w:pPr>
        <w:ind w:firstLine="480" w:firstLineChars="200"/>
        <w:rPr>
          <w:rFonts w:ascii="宋体" w:hAnsi="宋体" w:cs="宋体"/>
          <w:sz w:val="24"/>
          <w:shd w:val="clear" w:color="auto" w:fill="FFFFFF"/>
        </w:rPr>
      </w:pPr>
    </w:p>
    <w:p>
      <w:pPr>
        <w:ind w:firstLine="480" w:firstLineChars="200"/>
        <w:rPr>
          <w:rFonts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sz w:val="24"/>
          <w:shd w:val="clear" w:color="auto" w:fill="FFFFFF"/>
        </w:rPr>
      </w:pPr>
    </w:p>
    <w:p>
      <w:pPr>
        <w:ind w:firstLine="480" w:firstLineChars="200"/>
        <w:rPr>
          <w:rFonts w:hint="eastAsia" w:ascii="宋体" w:hAnsi="宋体" w:cs="宋体"/>
          <w:b/>
          <w:sz w:val="28"/>
          <w:szCs w:val="28"/>
          <w:shd w:val="clear" w:color="auto" w:fill="FFFFFF"/>
        </w:rPr>
      </w:pPr>
      <w:r>
        <w:rPr>
          <w:rFonts w:hint="eastAsia" w:ascii="宋体" w:hAnsi="宋体" w:cs="宋体"/>
          <w:sz w:val="24"/>
          <w:shd w:val="clear" w:color="auto" w:fill="FFFFFF"/>
        </w:rPr>
        <w:t>从表3数据看出中心度较小的影响因素有报送手续、贸易壁垒、安全环保、原料短缺，这四个因素对外贸供应链风险的影响较小；中心度较高的影响因素有资金短缺、运作成本、延期交付、客户流失、订单减少、推迟付款，这六个因素对外贸供应链风险产生较大的影响；其它六个因素影响程度居中。</w:t>
      </w:r>
    </w:p>
    <w:p>
      <w:pPr>
        <w:spacing w:line="240" w:lineRule="auto"/>
        <w:rPr>
          <w:rFonts w:ascii="宋体" w:hAnsi="宋体" w:cs="宋体"/>
          <w:b/>
          <w:sz w:val="24"/>
          <w:shd w:val="clear" w:color="auto" w:fill="FFFFFF"/>
        </w:rPr>
      </w:pPr>
      <w:r>
        <w:rPr>
          <w:rFonts w:hint="eastAsia" w:ascii="宋体" w:hAnsi="宋体" w:cs="宋体"/>
          <w:b/>
          <w:sz w:val="28"/>
          <w:szCs w:val="28"/>
          <w:shd w:val="clear" w:color="auto" w:fill="FFFFFF"/>
        </w:rPr>
        <w:t>4.3外贸供应链风险散点图</w:t>
      </w:r>
    </w:p>
    <w:p>
      <w:pPr>
        <w:spacing w:line="276" w:lineRule="auto"/>
        <w:ind w:firstLine="420" w:firstLineChars="200"/>
        <w:rPr>
          <w:rFonts w:ascii="宋体" w:hAnsi="宋体" w:cs="宋体"/>
          <w:shd w:val="clear" w:color="auto" w:fill="FFFFFF"/>
        </w:rPr>
      </w:pPr>
      <w:r>
        <w:drawing>
          <wp:inline distT="0" distB="0" distL="114300" distR="114300">
            <wp:extent cx="2494280" cy="2618105"/>
            <wp:effectExtent l="0" t="0" r="7620"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2494280" cy="2618105"/>
                    </a:xfrm>
                    <a:prstGeom prst="rect">
                      <a:avLst/>
                    </a:prstGeom>
                    <a:noFill/>
                    <a:ln>
                      <a:noFill/>
                    </a:ln>
                  </pic:spPr>
                </pic:pic>
              </a:graphicData>
            </a:graphic>
          </wp:inline>
        </w:drawing>
      </w:r>
      <w:r>
        <w:drawing>
          <wp:inline distT="0" distB="0" distL="114300" distR="114300">
            <wp:extent cx="2463800" cy="2673985"/>
            <wp:effectExtent l="0" t="0" r="0" b="571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2463800" cy="2673985"/>
                    </a:xfrm>
                    <a:prstGeom prst="rect">
                      <a:avLst/>
                    </a:prstGeom>
                    <a:noFill/>
                    <a:ln>
                      <a:noFill/>
                    </a:ln>
                  </pic:spPr>
                </pic:pic>
              </a:graphicData>
            </a:graphic>
          </wp:inline>
        </w:drawing>
      </w:r>
    </w:p>
    <w:p>
      <w:pPr>
        <w:spacing w:line="276" w:lineRule="auto"/>
        <w:ind w:firstLine="422" w:firstLineChars="200"/>
        <w:rPr>
          <w:rFonts w:hint="eastAsia" w:ascii="宋体" w:hAnsi="宋体" w:cs="宋体"/>
          <w:b/>
          <w:bCs/>
          <w:sz w:val="28"/>
          <w:szCs w:val="28"/>
          <w:shd w:val="clear" w:color="auto" w:fill="FFFFFF"/>
        </w:rPr>
      </w:pPr>
      <w:r>
        <w:rPr>
          <w:rFonts w:hint="eastAsia" w:ascii="宋体" w:hAnsi="宋体" w:cs="宋体"/>
          <w:b/>
          <w:bCs/>
          <w:szCs w:val="21"/>
          <w:shd w:val="clear" w:color="auto" w:fill="FFFFFF"/>
        </w:rPr>
        <w:t>图2 供应链风险影响度和被影响度散点图    图3 供应链风险中心度和原因度散点图</w:t>
      </w:r>
    </w:p>
    <w:p>
      <w:pPr>
        <w:spacing w:line="240" w:lineRule="auto"/>
        <w:rPr>
          <w:rFonts w:hint="eastAsia" w:ascii="宋体" w:hAnsi="宋体" w:cs="宋体"/>
          <w:b/>
          <w:bCs/>
          <w:sz w:val="28"/>
          <w:szCs w:val="28"/>
          <w:shd w:val="clear" w:color="auto" w:fill="FFFFFF"/>
        </w:rPr>
      </w:pPr>
    </w:p>
    <w:p>
      <w:pPr>
        <w:spacing w:line="240" w:lineRule="auto"/>
        <w:rPr>
          <w:rFonts w:ascii="宋体" w:hAnsi="宋体" w:cs="宋体"/>
          <w:b/>
          <w:bCs/>
          <w:sz w:val="28"/>
          <w:szCs w:val="28"/>
          <w:shd w:val="clear" w:color="auto" w:fill="FFFFFF"/>
        </w:rPr>
      </w:pPr>
      <w:r>
        <w:rPr>
          <w:rFonts w:hint="eastAsia" w:ascii="宋体" w:hAnsi="宋体" w:cs="宋体"/>
          <w:b/>
          <w:bCs/>
          <w:sz w:val="28"/>
          <w:szCs w:val="28"/>
          <w:shd w:val="clear" w:color="auto" w:fill="FFFFFF"/>
        </w:rPr>
        <w:t>4.4外贸供应链风险值</w:t>
      </w:r>
    </w:p>
    <w:p>
      <w:pPr>
        <w:ind w:firstLine="480" w:firstLineChars="200"/>
        <w:rPr>
          <w:rFonts w:ascii="宋体" w:hAnsi="宋体" w:cs="宋体"/>
          <w:sz w:val="24"/>
          <w:shd w:val="clear" w:color="auto" w:fill="FFFFFF"/>
        </w:rPr>
      </w:pPr>
      <w:r>
        <w:rPr>
          <w:rFonts w:hint="eastAsia" w:ascii="宋体" w:hAnsi="宋体" w:cs="宋体"/>
          <w:sz w:val="24"/>
          <w:shd w:val="clear" w:color="auto" w:fill="FFFFFF"/>
        </w:rPr>
        <w:t>计算外贸供应链风险值（风险值=影响度×发生概率×发生频率）。</w:t>
      </w:r>
    </w:p>
    <w:p>
      <w:pPr>
        <w:ind w:firstLine="422" w:firstLineChars="200"/>
        <w:jc w:val="center"/>
        <w:rPr>
          <w:rFonts w:ascii="Arial" w:hAnsi="Arial" w:cs="Arial"/>
          <w:b/>
          <w:bCs/>
          <w:sz w:val="15"/>
          <w:szCs w:val="15"/>
          <w:shd w:val="clear" w:color="auto" w:fill="FFFFFF"/>
        </w:rPr>
      </w:pPr>
      <w:r>
        <w:rPr>
          <w:rFonts w:hint="eastAsia" w:ascii="Arial" w:hAnsi="Arial" w:cs="Arial"/>
          <w:b/>
          <w:bCs/>
          <w:szCs w:val="21"/>
          <w:shd w:val="clear" w:color="auto" w:fill="FFFFFF"/>
        </w:rPr>
        <w:t>表4 外贸供应链风险值</w:t>
      </w:r>
    </w:p>
    <w:tbl>
      <w:tblPr>
        <w:tblStyle w:val="9"/>
        <w:tblpPr w:leftFromText="180" w:rightFromText="180" w:vertAnchor="text" w:horzAnchor="page" w:tblpX="2250" w:tblpY="10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841"/>
        <w:gridCol w:w="841"/>
        <w:gridCol w:w="841"/>
        <w:gridCol w:w="841"/>
        <w:gridCol w:w="841"/>
        <w:gridCol w:w="841"/>
        <w:gridCol w:w="841"/>
        <w:gridCol w:w="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left w:val="nil"/>
              <w:right w:val="nil"/>
            </w:tcBorders>
          </w:tcPr>
          <w:p>
            <w:pPr>
              <w:jc w:val="left"/>
              <w:rPr>
                <w:rFonts w:ascii="Arial" w:hAnsi="Arial" w:cs="Arial"/>
                <w:sz w:val="15"/>
                <w:szCs w:val="15"/>
                <w:shd w:val="clear" w:color="auto" w:fill="FFFFFF"/>
              </w:rPr>
            </w:pPr>
            <w:r>
              <w:rPr>
                <w:rFonts w:hint="eastAsia" w:ascii="Arial" w:hAnsi="Arial" w:cs="Arial"/>
                <w:szCs w:val="21"/>
                <w:shd w:val="clear" w:color="auto" w:fill="FFFFFF"/>
              </w:rPr>
              <w:t>影响因素</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运作成本</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资金短缺</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客户流失</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物流受阻</w:t>
            </w:r>
          </w:p>
        </w:tc>
        <w:tc>
          <w:tcPr>
            <w:tcW w:w="841" w:type="dxa"/>
            <w:tcBorders>
              <w:left w:val="nil"/>
              <w:right w:val="nil"/>
            </w:tcBorders>
          </w:tcPr>
          <w:p>
            <w:pPr>
              <w:rPr>
                <w:sz w:val="15"/>
                <w:szCs w:val="15"/>
                <w:shd w:val="clear" w:color="auto" w:fill="FFFFFF"/>
              </w:rPr>
            </w:pPr>
            <w:r>
              <w:rPr>
                <w:rFonts w:hint="eastAsia"/>
                <w:sz w:val="15"/>
                <w:szCs w:val="15"/>
                <w:shd w:val="clear" w:color="auto" w:fill="FFFFFF"/>
              </w:rPr>
              <w:t>订单减少</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原料短缺</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人员流失</w:t>
            </w:r>
          </w:p>
        </w:tc>
        <w:tc>
          <w:tcPr>
            <w:tcW w:w="847" w:type="dxa"/>
            <w:tcBorders>
              <w:left w:val="nil"/>
              <w:right w:val="nil"/>
            </w:tcBorders>
          </w:tcPr>
          <w:p>
            <w:pPr>
              <w:jc w:val="center"/>
              <w:rPr>
                <w:sz w:val="15"/>
                <w:szCs w:val="15"/>
                <w:shd w:val="clear" w:color="auto" w:fill="FFFFFF"/>
              </w:rPr>
            </w:pPr>
            <w:r>
              <w:rPr>
                <w:rFonts w:hint="eastAsia"/>
                <w:sz w:val="15"/>
                <w:szCs w:val="15"/>
                <w:shd w:val="clear" w:color="auto" w:fill="FFFFFF"/>
              </w:rPr>
              <w:t>产能不足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left w:val="nil"/>
              <w:bottom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影响度</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3.07</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3.439</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2.869</w:t>
            </w:r>
          </w:p>
        </w:tc>
        <w:tc>
          <w:tcPr>
            <w:tcW w:w="841" w:type="dxa"/>
            <w:tcBorders>
              <w:left w:val="nil"/>
              <w:bottom w:val="nil"/>
              <w:right w:val="nil"/>
            </w:tcBorders>
          </w:tcPr>
          <w:p>
            <w:pPr>
              <w:jc w:val="center"/>
              <w:rPr>
                <w:b/>
                <w:bCs/>
                <w:szCs w:val="21"/>
                <w:shd w:val="clear" w:color="auto" w:fill="FFFFFF"/>
              </w:rPr>
            </w:pPr>
            <w:r>
              <w:rPr>
                <w:szCs w:val="21"/>
                <w:shd w:val="clear" w:color="auto" w:fill="FFFFFF"/>
              </w:rPr>
              <w:t>3.17</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2.798</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2.669</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2.659</w:t>
            </w:r>
          </w:p>
        </w:tc>
        <w:tc>
          <w:tcPr>
            <w:tcW w:w="847" w:type="dxa"/>
            <w:tcBorders>
              <w:left w:val="nil"/>
              <w:bottom w:val="nil"/>
              <w:right w:val="nil"/>
            </w:tcBorders>
          </w:tcPr>
          <w:p>
            <w:pPr>
              <w:jc w:val="center"/>
              <w:rPr>
                <w:b/>
                <w:bCs/>
                <w:szCs w:val="21"/>
                <w:shd w:val="clear" w:color="auto" w:fill="FFFFFF"/>
              </w:rPr>
            </w:pPr>
            <w:r>
              <w:rPr>
                <w:rFonts w:eastAsia="等线"/>
                <w:color w:val="000000"/>
                <w:kern w:val="0"/>
                <w:szCs w:val="21"/>
                <w:lang w:bidi="ar"/>
              </w:rPr>
              <w:t>2.54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nil"/>
              <w:left w:val="nil"/>
              <w:bottom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发生概率</w:t>
            </w:r>
          </w:p>
        </w:tc>
        <w:tc>
          <w:tcPr>
            <w:tcW w:w="841" w:type="dxa"/>
            <w:tcBorders>
              <w:top w:val="nil"/>
              <w:left w:val="nil"/>
              <w:bottom w:val="nil"/>
              <w:right w:val="nil"/>
            </w:tcBorders>
          </w:tcPr>
          <w:p>
            <w:pPr>
              <w:jc w:val="center"/>
              <w:rPr>
                <w:szCs w:val="21"/>
                <w:shd w:val="clear" w:color="auto" w:fill="FFFFFF"/>
              </w:rPr>
            </w:pPr>
            <w:r>
              <w:rPr>
                <w:szCs w:val="21"/>
                <w:shd w:val="clear" w:color="auto" w:fill="FFFFFF"/>
              </w:rPr>
              <w:t>0.297</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0.357</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0.358</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0.378</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0.380</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0.341</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0.336</w:t>
            </w:r>
          </w:p>
        </w:tc>
        <w:tc>
          <w:tcPr>
            <w:tcW w:w="847" w:type="dxa"/>
            <w:tcBorders>
              <w:top w:val="nil"/>
              <w:left w:val="nil"/>
              <w:bottom w:val="nil"/>
              <w:right w:val="nil"/>
            </w:tcBorders>
          </w:tcPr>
          <w:p>
            <w:pPr>
              <w:jc w:val="center"/>
              <w:rPr>
                <w:szCs w:val="21"/>
                <w:shd w:val="clear" w:color="auto" w:fill="FFFFFF"/>
              </w:rPr>
            </w:pPr>
            <w:r>
              <w:rPr>
                <w:rFonts w:hint="eastAsia"/>
                <w:szCs w:val="21"/>
                <w:shd w:val="clear" w:color="auto" w:fill="FFFFFF"/>
              </w:rPr>
              <w:t>0.294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nil"/>
              <w:left w:val="nil"/>
              <w:bottom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发生频率</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0.338</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0.409</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0.352</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0.395</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0.356</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0.343</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0.334</w:t>
            </w:r>
          </w:p>
        </w:tc>
        <w:tc>
          <w:tcPr>
            <w:tcW w:w="847" w:type="dxa"/>
            <w:tcBorders>
              <w:top w:val="nil"/>
              <w:left w:val="nil"/>
              <w:bottom w:val="nil"/>
              <w:right w:val="nil"/>
            </w:tcBorders>
          </w:tcPr>
          <w:p>
            <w:pPr>
              <w:jc w:val="center"/>
              <w:rPr>
                <w:szCs w:val="21"/>
                <w:shd w:val="clear" w:color="auto" w:fill="FFFFFF"/>
              </w:rPr>
            </w:pPr>
            <w:r>
              <w:rPr>
                <w:rFonts w:hint="eastAsia"/>
                <w:szCs w:val="21"/>
                <w:shd w:val="clear" w:color="auto" w:fill="FFFFFF"/>
              </w:rPr>
              <w:t>0.350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nil"/>
              <w:left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风险值</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0.308</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0.502</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0.362</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0.473</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0.379</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0.312</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0.298</w:t>
            </w:r>
          </w:p>
        </w:tc>
        <w:tc>
          <w:tcPr>
            <w:tcW w:w="847" w:type="dxa"/>
            <w:tcBorders>
              <w:top w:val="nil"/>
              <w:left w:val="nil"/>
              <w:right w:val="nil"/>
            </w:tcBorders>
          </w:tcPr>
          <w:p>
            <w:pPr>
              <w:jc w:val="center"/>
              <w:rPr>
                <w:szCs w:val="21"/>
                <w:shd w:val="clear" w:color="auto" w:fill="FFFFFF"/>
              </w:rPr>
            </w:pPr>
            <w:r>
              <w:rPr>
                <w:rFonts w:hint="eastAsia"/>
                <w:szCs w:val="21"/>
                <w:shd w:val="clear" w:color="auto" w:fill="FFFFFF"/>
              </w:rPr>
              <w:t>0.261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left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影响因素</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库存积压</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报关手续</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企业协作</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延期交付</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推迟付款</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贸易壁垒</w:t>
            </w:r>
          </w:p>
        </w:tc>
        <w:tc>
          <w:tcPr>
            <w:tcW w:w="841" w:type="dxa"/>
            <w:tcBorders>
              <w:left w:val="nil"/>
              <w:right w:val="nil"/>
            </w:tcBorders>
          </w:tcPr>
          <w:p>
            <w:pPr>
              <w:jc w:val="center"/>
              <w:rPr>
                <w:sz w:val="15"/>
                <w:szCs w:val="15"/>
                <w:shd w:val="clear" w:color="auto" w:fill="FFFFFF"/>
              </w:rPr>
            </w:pPr>
            <w:r>
              <w:rPr>
                <w:rFonts w:hint="eastAsia"/>
                <w:sz w:val="15"/>
                <w:szCs w:val="15"/>
                <w:shd w:val="clear" w:color="auto" w:fill="FFFFFF"/>
              </w:rPr>
              <w:t>安全环保</w:t>
            </w:r>
          </w:p>
        </w:tc>
        <w:tc>
          <w:tcPr>
            <w:tcW w:w="847" w:type="dxa"/>
            <w:tcBorders>
              <w:left w:val="nil"/>
              <w:right w:val="nil"/>
            </w:tcBorders>
          </w:tcPr>
          <w:p>
            <w:pPr>
              <w:jc w:val="center"/>
              <w:rPr>
                <w:sz w:val="15"/>
                <w:szCs w:val="15"/>
                <w:shd w:val="clear" w:color="auto" w:fill="FFFFFF"/>
              </w:rPr>
            </w:pPr>
            <w:r>
              <w:rPr>
                <w:rFonts w:hint="eastAsia"/>
                <w:sz w:val="15"/>
                <w:szCs w:val="15"/>
                <w:shd w:val="clear" w:color="auto" w:fill="FFFFFF"/>
              </w:rPr>
              <w:t>不可抗力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left w:val="nil"/>
              <w:bottom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影响度</w:t>
            </w:r>
          </w:p>
        </w:tc>
        <w:tc>
          <w:tcPr>
            <w:tcW w:w="841" w:type="dxa"/>
            <w:tcBorders>
              <w:left w:val="nil"/>
              <w:bottom w:val="nil"/>
              <w:right w:val="nil"/>
            </w:tcBorders>
          </w:tcPr>
          <w:p>
            <w:pPr>
              <w:jc w:val="center"/>
              <w:rPr>
                <w:b/>
                <w:bCs/>
                <w:szCs w:val="21"/>
                <w:shd w:val="clear" w:color="auto" w:fill="FFFFFF"/>
              </w:rPr>
            </w:pPr>
            <w:r>
              <w:rPr>
                <w:szCs w:val="21"/>
                <w:shd w:val="clear" w:color="auto" w:fill="FFFFFF"/>
              </w:rPr>
              <w:t>2.26</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1.737</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2.349</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2.828</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2.832</w:t>
            </w:r>
          </w:p>
        </w:tc>
        <w:tc>
          <w:tcPr>
            <w:tcW w:w="841" w:type="dxa"/>
            <w:tcBorders>
              <w:left w:val="nil"/>
              <w:bottom w:val="nil"/>
              <w:right w:val="nil"/>
            </w:tcBorders>
          </w:tcPr>
          <w:p>
            <w:pPr>
              <w:jc w:val="center"/>
              <w:rPr>
                <w:b/>
                <w:bCs/>
                <w:szCs w:val="21"/>
                <w:shd w:val="clear" w:color="auto" w:fill="FFFFFF"/>
              </w:rPr>
            </w:pPr>
            <w:r>
              <w:rPr>
                <w:rFonts w:eastAsia="等线"/>
                <w:color w:val="000000"/>
                <w:kern w:val="0"/>
                <w:szCs w:val="21"/>
                <w:lang w:bidi="ar"/>
              </w:rPr>
              <w:t>2.728</w:t>
            </w:r>
          </w:p>
        </w:tc>
        <w:tc>
          <w:tcPr>
            <w:tcW w:w="841" w:type="dxa"/>
            <w:tcBorders>
              <w:left w:val="nil"/>
              <w:bottom w:val="nil"/>
              <w:right w:val="nil"/>
            </w:tcBorders>
          </w:tcPr>
          <w:p>
            <w:pPr>
              <w:jc w:val="center"/>
              <w:rPr>
                <w:szCs w:val="21"/>
                <w:shd w:val="clear" w:color="auto" w:fill="FFFFFF"/>
              </w:rPr>
            </w:pPr>
            <w:r>
              <w:rPr>
                <w:szCs w:val="21"/>
                <w:shd w:val="clear" w:color="auto" w:fill="FFFFFF"/>
              </w:rPr>
              <w:t>2.57</w:t>
            </w:r>
          </w:p>
        </w:tc>
        <w:tc>
          <w:tcPr>
            <w:tcW w:w="847" w:type="dxa"/>
            <w:tcBorders>
              <w:left w:val="nil"/>
              <w:bottom w:val="nil"/>
              <w:right w:val="nil"/>
            </w:tcBorders>
          </w:tcPr>
          <w:p>
            <w:pPr>
              <w:jc w:val="center"/>
              <w:rPr>
                <w:szCs w:val="21"/>
                <w:shd w:val="clear" w:color="auto" w:fill="FFFFFF"/>
              </w:rPr>
            </w:pPr>
            <w:r>
              <w:rPr>
                <w:szCs w:val="21"/>
                <w:shd w:val="clear" w:color="auto" w:fill="FFFFFF"/>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nil"/>
              <w:left w:val="nil"/>
              <w:bottom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发生概率</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0.328</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0.318</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0.301</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0.318</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0.394</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0.291</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0.310</w:t>
            </w:r>
          </w:p>
        </w:tc>
        <w:tc>
          <w:tcPr>
            <w:tcW w:w="847" w:type="dxa"/>
            <w:tcBorders>
              <w:top w:val="nil"/>
              <w:left w:val="nil"/>
              <w:bottom w:val="nil"/>
              <w:right w:val="nil"/>
            </w:tcBorders>
          </w:tcPr>
          <w:p>
            <w:pPr>
              <w:jc w:val="center"/>
              <w:rPr>
                <w:szCs w:val="21"/>
                <w:shd w:val="clear" w:color="auto" w:fill="FFFFFF"/>
              </w:rPr>
            </w:pPr>
            <w:r>
              <w:rPr>
                <w:rFonts w:hint="eastAsia"/>
                <w:szCs w:val="21"/>
                <w:shd w:val="clear" w:color="auto" w:fill="FFFFFF"/>
              </w:rPr>
              <w:t>0.337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nil"/>
              <w:left w:val="nil"/>
              <w:bottom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发生频率</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0.366</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0.333</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0.385</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0.358</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0.368</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0.342</w:t>
            </w:r>
          </w:p>
        </w:tc>
        <w:tc>
          <w:tcPr>
            <w:tcW w:w="841" w:type="dxa"/>
            <w:tcBorders>
              <w:top w:val="nil"/>
              <w:left w:val="nil"/>
              <w:bottom w:val="nil"/>
              <w:right w:val="nil"/>
            </w:tcBorders>
          </w:tcPr>
          <w:p>
            <w:pPr>
              <w:jc w:val="center"/>
              <w:rPr>
                <w:szCs w:val="21"/>
                <w:shd w:val="clear" w:color="auto" w:fill="FFFFFF"/>
              </w:rPr>
            </w:pPr>
            <w:r>
              <w:rPr>
                <w:rFonts w:hint="eastAsia"/>
                <w:szCs w:val="21"/>
                <w:shd w:val="clear" w:color="auto" w:fill="FFFFFF"/>
              </w:rPr>
              <w:t>0.329</w:t>
            </w:r>
          </w:p>
        </w:tc>
        <w:tc>
          <w:tcPr>
            <w:tcW w:w="847" w:type="dxa"/>
            <w:tcBorders>
              <w:top w:val="nil"/>
              <w:left w:val="nil"/>
              <w:bottom w:val="nil"/>
              <w:right w:val="nil"/>
            </w:tcBorders>
          </w:tcPr>
          <w:p>
            <w:pPr>
              <w:jc w:val="center"/>
              <w:rPr>
                <w:szCs w:val="21"/>
                <w:shd w:val="clear" w:color="auto" w:fill="FFFFFF"/>
              </w:rPr>
            </w:pPr>
            <w:r>
              <w:rPr>
                <w:rFonts w:hint="eastAsia"/>
                <w:szCs w:val="21"/>
                <w:shd w:val="clear" w:color="auto" w:fill="FFFFFF"/>
              </w:rPr>
              <w:t>0.359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nil"/>
              <w:left w:val="nil"/>
              <w:right w:val="nil"/>
            </w:tcBorders>
          </w:tcPr>
          <w:p>
            <w:pPr>
              <w:jc w:val="left"/>
              <w:rPr>
                <w:rFonts w:ascii="Arial" w:hAnsi="Arial" w:cs="Arial"/>
                <w:szCs w:val="21"/>
                <w:shd w:val="clear" w:color="auto" w:fill="FFFFFF"/>
              </w:rPr>
            </w:pPr>
            <w:r>
              <w:rPr>
                <w:rFonts w:hint="eastAsia" w:ascii="Arial" w:hAnsi="Arial" w:cs="Arial"/>
                <w:szCs w:val="21"/>
                <w:shd w:val="clear" w:color="auto" w:fill="FFFFFF"/>
              </w:rPr>
              <w:t>风险值</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0.271</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0.184</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0.272</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0.322</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0.411</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0.272</w:t>
            </w:r>
          </w:p>
        </w:tc>
        <w:tc>
          <w:tcPr>
            <w:tcW w:w="841" w:type="dxa"/>
            <w:tcBorders>
              <w:top w:val="nil"/>
              <w:left w:val="nil"/>
              <w:right w:val="nil"/>
            </w:tcBorders>
          </w:tcPr>
          <w:p>
            <w:pPr>
              <w:jc w:val="center"/>
              <w:rPr>
                <w:szCs w:val="21"/>
                <w:shd w:val="clear" w:color="auto" w:fill="FFFFFF"/>
              </w:rPr>
            </w:pPr>
            <w:r>
              <w:rPr>
                <w:rFonts w:hint="eastAsia"/>
                <w:szCs w:val="21"/>
                <w:shd w:val="clear" w:color="auto" w:fill="FFFFFF"/>
              </w:rPr>
              <w:t>0.262</w:t>
            </w:r>
          </w:p>
        </w:tc>
        <w:tc>
          <w:tcPr>
            <w:tcW w:w="847" w:type="dxa"/>
            <w:tcBorders>
              <w:top w:val="nil"/>
              <w:left w:val="nil"/>
              <w:right w:val="nil"/>
            </w:tcBorders>
          </w:tcPr>
          <w:p>
            <w:pPr>
              <w:jc w:val="center"/>
              <w:rPr>
                <w:szCs w:val="21"/>
                <w:shd w:val="clear" w:color="auto" w:fill="FFFFFF"/>
              </w:rPr>
            </w:pPr>
            <w:r>
              <w:rPr>
                <w:rFonts w:hint="eastAsia"/>
                <w:szCs w:val="21"/>
                <w:shd w:val="clear" w:color="auto" w:fill="FFFFFF"/>
              </w:rPr>
              <w:t>0.448</w:t>
            </w:r>
          </w:p>
        </w:tc>
      </w:tr>
    </w:tbl>
    <w:p>
      <w:pPr>
        <w:spacing w:line="240" w:lineRule="auto"/>
        <w:ind w:firstLine="480" w:firstLineChars="200"/>
        <w:rPr>
          <w:rFonts w:hint="eastAsia" w:ascii="宋体" w:hAnsi="宋体" w:cs="宋体"/>
          <w:b w:val="0"/>
          <w:bCs w:val="0"/>
          <w:sz w:val="24"/>
          <w:szCs w:val="24"/>
          <w:shd w:val="clear" w:color="auto" w:fill="FFFFFF"/>
          <w:lang w:val="en-US" w:eastAsia="zh-CN"/>
        </w:rPr>
      </w:pPr>
    </w:p>
    <w:p>
      <w:pPr>
        <w:spacing w:line="240" w:lineRule="auto"/>
        <w:ind w:firstLine="480" w:firstLineChars="200"/>
        <w:rPr>
          <w:rFonts w:hint="default" w:ascii="宋体" w:hAnsi="宋体" w:eastAsia="宋体" w:cs="宋体"/>
          <w:b w:val="0"/>
          <w:bCs w:val="0"/>
          <w:sz w:val="24"/>
          <w:szCs w:val="24"/>
          <w:shd w:val="clear" w:color="auto" w:fill="FFFFFF"/>
          <w:lang w:val="en-US" w:eastAsia="zh-CN"/>
        </w:rPr>
      </w:pPr>
      <w:r>
        <w:rPr>
          <w:rFonts w:hint="eastAsia" w:ascii="宋体" w:hAnsi="宋体" w:cs="宋体"/>
          <w:b w:val="0"/>
          <w:bCs w:val="0"/>
          <w:sz w:val="24"/>
          <w:szCs w:val="24"/>
          <w:shd w:val="clear" w:color="auto" w:fill="FFFFFF"/>
          <w:lang w:val="en-US" w:eastAsia="zh-CN"/>
        </w:rPr>
        <w:t xml:space="preserve">从表4计算结果看出，风险值居高的影响因素是资金短缺、物流受阻、不可抗力和推迟付款，其次是订单减少、客户流失、延期交付、原料短缺、运作成本，其它7个影响因素风险值较低。 </w:t>
      </w:r>
    </w:p>
    <w:p>
      <w:pPr>
        <w:spacing w:line="240" w:lineRule="auto"/>
        <w:rPr>
          <w:rFonts w:ascii="宋体" w:hAnsi="宋体" w:cs="宋体"/>
          <w:b/>
          <w:bCs/>
          <w:sz w:val="30"/>
          <w:szCs w:val="30"/>
          <w:shd w:val="clear" w:color="auto" w:fill="FFFFFF"/>
        </w:rPr>
      </w:pPr>
      <w:r>
        <w:rPr>
          <w:rFonts w:hint="eastAsia" w:ascii="宋体" w:hAnsi="宋体" w:cs="宋体"/>
          <w:b/>
          <w:bCs/>
          <w:sz w:val="30"/>
          <w:szCs w:val="30"/>
          <w:shd w:val="clear" w:color="auto" w:fill="FFFFFF"/>
        </w:rPr>
        <w:t>5 结语</w:t>
      </w:r>
    </w:p>
    <w:p>
      <w:pPr>
        <w:ind w:firstLine="480" w:firstLineChars="200"/>
        <w:rPr>
          <w:rFonts w:ascii="宋体" w:hAnsi="宋体" w:cs="宋体"/>
          <w:bCs/>
          <w:sz w:val="24"/>
          <w:shd w:val="clear" w:color="auto" w:fill="FFFFFF"/>
        </w:rPr>
      </w:pPr>
      <w:r>
        <w:rPr>
          <w:rFonts w:hint="eastAsia" w:ascii="宋体" w:hAnsi="宋体" w:cs="宋体"/>
          <w:sz w:val="24"/>
          <w:shd w:val="clear" w:color="auto" w:fill="FFFFFF"/>
        </w:rPr>
        <w:t>受新冠疫情、通胀高企、东欧战争等诸多因素影响，跨境贸易中供应链风险事件频繁发生</w:t>
      </w:r>
      <w:r>
        <w:rPr>
          <w:rFonts w:hint="eastAsia" w:ascii="宋体" w:hAnsi="宋体" w:cs="宋体"/>
          <w:sz w:val="24"/>
          <w:shd w:val="clear" w:color="auto" w:fill="FFFFFF"/>
          <w:lang w:eastAsia="zh-CN"/>
        </w:rPr>
        <w:t>，</w:t>
      </w:r>
      <w:r>
        <w:rPr>
          <w:rFonts w:hint="eastAsia" w:ascii="宋体" w:hAnsi="宋体" w:cs="宋体"/>
          <w:sz w:val="24"/>
          <w:shd w:val="clear" w:color="auto" w:fill="FFFFFF"/>
          <w:lang w:val="en-US" w:eastAsia="zh-CN"/>
        </w:rPr>
        <w:t>这些风险事件严重地阻碍了外贸业务的正常开展</w:t>
      </w:r>
      <w:r>
        <w:rPr>
          <w:rFonts w:hint="eastAsia" w:ascii="宋体" w:hAnsi="宋体" w:cs="宋体"/>
          <w:sz w:val="24"/>
          <w:shd w:val="clear" w:color="auto" w:fill="FFFFFF"/>
        </w:rPr>
        <w:t>。借助全球数字化转型新契机，优化全球供应链中各节点企业的资源配置和强化国际协作。</w:t>
      </w:r>
      <w:r>
        <w:rPr>
          <w:rFonts w:hint="eastAsia" w:ascii="宋体" w:hAnsi="宋体" w:cs="宋体"/>
          <w:bCs/>
          <w:sz w:val="24"/>
          <w:shd w:val="clear" w:color="auto" w:fill="FFFFFF"/>
        </w:rPr>
        <w:t>探索“区块链+外贸”新模式，外贸企业应用区块链技术不断提升供应链风险的应变能力，及时防范风险事件发生，缓释风险事件的影响，力争在国际供应链中立于优势地位。</w:t>
      </w:r>
    </w:p>
    <w:p>
      <w:pPr>
        <w:spacing w:line="240" w:lineRule="auto"/>
        <w:rPr>
          <w:rFonts w:ascii="宋体" w:hAnsi="宋体" w:cs="宋体"/>
          <w:b/>
          <w:bCs/>
          <w:sz w:val="28"/>
          <w:szCs w:val="28"/>
          <w:shd w:val="clear" w:color="auto" w:fill="FFFFFF"/>
        </w:rPr>
      </w:pPr>
      <w:r>
        <w:rPr>
          <w:rFonts w:hint="eastAsia" w:ascii="宋体" w:hAnsi="宋体" w:cs="宋体"/>
          <w:b/>
          <w:bCs/>
          <w:sz w:val="28"/>
          <w:szCs w:val="28"/>
          <w:shd w:val="clear" w:color="auto" w:fill="FFFFFF"/>
        </w:rPr>
        <w:t>5.1区块链+征信</w:t>
      </w:r>
    </w:p>
    <w:p>
      <w:pPr>
        <w:ind w:firstLine="480" w:firstLineChars="200"/>
        <w:rPr>
          <w:rFonts w:ascii="微软雅黑" w:hAnsi="微软雅黑" w:eastAsia="微软雅黑" w:cs="微软雅黑"/>
          <w:color w:val="666666"/>
          <w:spacing w:val="10"/>
          <w:sz w:val="16"/>
          <w:szCs w:val="16"/>
          <w:shd w:val="clear" w:color="auto" w:fill="FFFFFF"/>
        </w:rPr>
      </w:pPr>
      <w:r>
        <w:rPr>
          <w:rFonts w:hint="eastAsia" w:ascii="宋体" w:hAnsi="宋体" w:cs="宋体"/>
          <w:sz w:val="24"/>
          <w:shd w:val="clear" w:color="auto" w:fill="FFFFFF"/>
        </w:rPr>
        <w:t>建立区块链征信联盟链，将外贸供应链企业、征信机构、关联银行和信用资料等各节点信息纳入其中，实现国际贸易征信信息和数据的共享，加强区块链征信的监管和风险防范</w:t>
      </w:r>
      <w:r>
        <w:rPr>
          <w:szCs w:val="21"/>
          <w:shd w:val="clear" w:color="auto" w:fill="FFFFFF"/>
          <w:vertAlign w:val="superscript"/>
        </w:rPr>
        <w:t>[</w:t>
      </w:r>
      <w:r>
        <w:rPr>
          <w:rFonts w:hint="eastAsia"/>
          <w:szCs w:val="21"/>
          <w:shd w:val="clear" w:color="auto" w:fill="FFFFFF"/>
          <w:vertAlign w:val="superscript"/>
          <w:lang w:val="en-US" w:eastAsia="zh-CN"/>
        </w:rPr>
        <w:t>9</w:t>
      </w:r>
      <w:r>
        <w:rPr>
          <w:szCs w:val="21"/>
          <w:shd w:val="clear" w:color="auto" w:fill="FFFFFF"/>
          <w:vertAlign w:val="superscript"/>
        </w:rPr>
        <w:t>]</w:t>
      </w:r>
      <w:r>
        <w:rPr>
          <w:rFonts w:hint="eastAsia" w:ascii="宋体" w:hAnsi="宋体" w:cs="宋体"/>
          <w:sz w:val="24"/>
          <w:shd w:val="clear" w:color="auto" w:fill="FFFFFF"/>
        </w:rPr>
        <w:t>。基于区块链征信平台，减少中转银行的介入，提高跨境交易结算和支付的效率；通过供应链节点企业信用信息的共享交流，跨境交易各方以提供信用的形式实现业务协同，减少交易过程中资金的占用量；将供应链上下游的企业融资难与核心企业信用空置相结合，解决商票全额转让或贴现、银票拆分成本高的难题，降低企业融资成本，提升产融结合的效率</w:t>
      </w:r>
      <w:r>
        <w:rPr>
          <w:color w:val="000000" w:themeColor="text1"/>
          <w:szCs w:val="21"/>
          <w:shd w:val="clear" w:color="auto" w:fill="FFFFFF"/>
          <w:vertAlign w:val="superscript"/>
          <w14:textFill>
            <w14:solidFill>
              <w14:schemeClr w14:val="tx1"/>
            </w14:solidFill>
          </w14:textFill>
        </w:rPr>
        <w:t>[</w:t>
      </w:r>
      <w:r>
        <w:rPr>
          <w:rFonts w:hint="eastAsia"/>
          <w:color w:val="000000" w:themeColor="text1"/>
          <w:szCs w:val="21"/>
          <w:shd w:val="clear" w:color="auto" w:fill="FFFFFF"/>
          <w:vertAlign w:val="superscript"/>
          <w:lang w:val="en-US" w:eastAsia="zh-CN"/>
          <w14:textFill>
            <w14:solidFill>
              <w14:schemeClr w14:val="tx1"/>
            </w14:solidFill>
          </w14:textFill>
        </w:rPr>
        <w:t>10</w:t>
      </w:r>
      <w:r>
        <w:rPr>
          <w:color w:val="000000" w:themeColor="text1"/>
          <w:szCs w:val="21"/>
          <w:shd w:val="clear" w:color="auto" w:fill="FFFFFF"/>
          <w:vertAlign w:val="superscript"/>
          <w14:textFill>
            <w14:solidFill>
              <w14:schemeClr w14:val="tx1"/>
            </w14:solidFill>
          </w14:textFill>
        </w:rPr>
        <w:t>]</w:t>
      </w:r>
      <w:r>
        <w:rPr>
          <w:rFonts w:hint="eastAsia" w:ascii="宋体" w:hAnsi="宋体" w:cs="宋体"/>
          <w:sz w:val="24"/>
          <w:shd w:val="clear" w:color="auto" w:fill="FFFFFF"/>
        </w:rPr>
        <w:t>。</w:t>
      </w:r>
    </w:p>
    <w:p>
      <w:pPr>
        <w:spacing w:line="240" w:lineRule="auto"/>
        <w:rPr>
          <w:rFonts w:ascii="宋体" w:hAnsi="宋体" w:cs="宋体"/>
          <w:b/>
          <w:bCs/>
          <w:sz w:val="28"/>
          <w:szCs w:val="28"/>
          <w:shd w:val="clear" w:color="auto" w:fill="FFFFFF"/>
        </w:rPr>
      </w:pPr>
      <w:r>
        <w:rPr>
          <w:rFonts w:hint="eastAsia" w:ascii="宋体" w:hAnsi="宋体" w:cs="宋体"/>
          <w:b/>
          <w:bCs/>
          <w:sz w:val="28"/>
          <w:szCs w:val="28"/>
          <w:shd w:val="clear" w:color="auto" w:fill="FFFFFF"/>
        </w:rPr>
        <w:t>5.2区块链+客户服务</w:t>
      </w:r>
    </w:p>
    <w:p>
      <w:pPr>
        <w:ind w:firstLine="480" w:firstLineChars="200"/>
        <w:rPr>
          <w:rFonts w:hint="eastAsia" w:ascii="宋体" w:hAnsi="宋体" w:cs="宋体"/>
          <w:b/>
          <w:bCs/>
          <w:sz w:val="28"/>
          <w:szCs w:val="28"/>
          <w:shd w:val="clear" w:color="auto" w:fill="FFFFFF"/>
        </w:rPr>
      </w:pPr>
      <w:r>
        <w:rPr>
          <w:rFonts w:hint="eastAsia" w:ascii="宋体" w:hAnsi="宋体" w:cs="宋体"/>
          <w:sz w:val="24"/>
          <w:shd w:val="clear" w:color="auto" w:fill="FFFFFF"/>
        </w:rPr>
        <w:t>区块链技术同客户服务系统 CRM相融合可实现跨平台交易。在公有链和私有链之间建立许可链，基于许可链的应用实现外贸供应链节点企业及企业内部的各节点信息共享，确保企业数据准确性和完整性，实现客户数据共享，可减少交易时间成本和节约企业周转资金</w:t>
      </w:r>
      <w:r>
        <w:rPr>
          <w:szCs w:val="21"/>
          <w:shd w:val="clear" w:color="auto" w:fill="FFFFFF"/>
          <w:vertAlign w:val="superscript"/>
        </w:rPr>
        <w:t>[</w:t>
      </w:r>
      <w:r>
        <w:rPr>
          <w:rFonts w:hint="eastAsia"/>
          <w:szCs w:val="21"/>
          <w:shd w:val="clear" w:color="auto" w:fill="FFFFFF"/>
          <w:vertAlign w:val="superscript"/>
          <w:lang w:val="en-US" w:eastAsia="zh-CN"/>
        </w:rPr>
        <w:t>11</w:t>
      </w:r>
      <w:r>
        <w:rPr>
          <w:szCs w:val="21"/>
          <w:shd w:val="clear" w:color="auto" w:fill="FFFFFF"/>
          <w:vertAlign w:val="superscript"/>
        </w:rPr>
        <w:t>]</w:t>
      </w:r>
      <w:r>
        <w:rPr>
          <w:rFonts w:hint="eastAsia" w:ascii="宋体" w:hAnsi="宋体" w:cs="宋体"/>
          <w:sz w:val="24"/>
          <w:shd w:val="clear" w:color="auto" w:fill="FFFFFF"/>
        </w:rPr>
        <w:t>。外贸企业可有效识别国外的目标客户，建立客户画像并实现精准营销；跟踪外贸企业交易信息，对客户外欠款、交易费用、交易进度、客户流失等进行监控，及时进行客户风险预警；把握客户的动向，反馈客户投诉和建议等信息，让企业采取有利措施挽回可能流失的客户</w:t>
      </w:r>
      <w:r>
        <w:rPr>
          <w:szCs w:val="21"/>
          <w:shd w:val="clear" w:color="auto" w:fill="FFFFFF"/>
          <w:vertAlign w:val="superscript"/>
        </w:rPr>
        <w:t>[1</w:t>
      </w:r>
      <w:r>
        <w:rPr>
          <w:rFonts w:hint="eastAsia"/>
          <w:szCs w:val="21"/>
          <w:shd w:val="clear" w:color="auto" w:fill="FFFFFF"/>
          <w:vertAlign w:val="superscript"/>
          <w:lang w:val="en-US" w:eastAsia="zh-CN"/>
        </w:rPr>
        <w:t>2</w:t>
      </w:r>
      <w:r>
        <w:rPr>
          <w:szCs w:val="21"/>
          <w:shd w:val="clear" w:color="auto" w:fill="FFFFFF"/>
          <w:vertAlign w:val="superscript"/>
        </w:rPr>
        <w:t>]</w:t>
      </w:r>
      <w:r>
        <w:rPr>
          <w:rFonts w:hint="eastAsia" w:ascii="宋体" w:hAnsi="宋体" w:cs="宋体"/>
          <w:sz w:val="24"/>
          <w:shd w:val="clear" w:color="auto" w:fill="FFFFFF"/>
        </w:rPr>
        <w:t>。</w:t>
      </w:r>
    </w:p>
    <w:p>
      <w:pPr>
        <w:spacing w:line="240" w:lineRule="auto"/>
        <w:rPr>
          <w:rFonts w:ascii="宋体" w:hAnsi="宋体" w:cs="宋体"/>
          <w:sz w:val="24"/>
          <w:shd w:val="clear" w:color="auto" w:fill="FFFFFF"/>
        </w:rPr>
      </w:pPr>
      <w:r>
        <w:rPr>
          <w:rFonts w:hint="eastAsia" w:ascii="宋体" w:hAnsi="宋体" w:cs="宋体"/>
          <w:b/>
          <w:bCs/>
          <w:sz w:val="28"/>
          <w:szCs w:val="28"/>
          <w:shd w:val="clear" w:color="auto" w:fill="FFFFFF"/>
        </w:rPr>
        <w:t>5.3区块链+物联网</w:t>
      </w:r>
    </w:p>
    <w:p>
      <w:pPr>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区块链同物联网融合，构建“物理世界+链上数据 ”的体系，借助集成传感、GPS、通信技术等先进手段，监控企业的经营活动和物资流向，为企业提供可靠的实时风险控制和构建企业真实的信用体系</w:t>
      </w:r>
      <w:r>
        <w:rPr>
          <w:szCs w:val="21"/>
          <w:vertAlign w:val="superscript"/>
        </w:rPr>
        <w:t>[</w:t>
      </w:r>
      <w:r>
        <w:rPr>
          <w:rFonts w:hint="eastAsia"/>
          <w:szCs w:val="21"/>
          <w:vertAlign w:val="superscript"/>
        </w:rPr>
        <w:t>1</w:t>
      </w:r>
      <w:r>
        <w:rPr>
          <w:rFonts w:hint="eastAsia"/>
          <w:szCs w:val="21"/>
          <w:vertAlign w:val="superscript"/>
          <w:lang w:val="en-US" w:eastAsia="zh-CN"/>
        </w:rPr>
        <w:t>3</w:t>
      </w:r>
      <w:r>
        <w:rPr>
          <w:szCs w:val="21"/>
          <w:vertAlign w:val="superscript"/>
        </w:rPr>
        <w:t>]</w:t>
      </w:r>
      <w:r>
        <w:rPr>
          <w:rFonts w:hint="eastAsia"/>
          <w:szCs w:val="21"/>
          <w:vertAlign w:val="superscript"/>
        </w:rPr>
        <w:t>[1</w:t>
      </w:r>
      <w:r>
        <w:rPr>
          <w:rFonts w:hint="eastAsia"/>
          <w:szCs w:val="21"/>
          <w:vertAlign w:val="superscript"/>
          <w:lang w:val="en-US" w:eastAsia="zh-CN"/>
        </w:rPr>
        <w:t>4</w:t>
      </w:r>
      <w:r>
        <w:rPr>
          <w:rFonts w:hint="eastAsia"/>
          <w:szCs w:val="21"/>
          <w:vertAlign w:val="superscript"/>
        </w:rPr>
        <w:t>]</w:t>
      </w:r>
      <w:r>
        <w:rPr>
          <w:rFonts w:hint="eastAsia" w:ascii="宋体" w:hAnsi="宋体" w:cs="宋体"/>
          <w:sz w:val="24"/>
          <w:shd w:val="clear" w:color="auto" w:fill="FFFFFF"/>
        </w:rPr>
        <w:t>。区块链仓单可实现可信存证，通过无法</w:t>
      </w:r>
      <w:r>
        <w:rPr>
          <w:rFonts w:hint="eastAsia" w:ascii="宋体" w:hAnsi="宋体" w:cs="宋体"/>
          <w:color w:val="4D4D4D"/>
          <w:sz w:val="24"/>
          <w:shd w:val="clear" w:color="auto" w:fill="FFFFFF"/>
        </w:rPr>
        <w:t>篡改的电子证据，减少造假事件的发生，明确交易各方的责任权限；借助</w:t>
      </w:r>
      <w:r>
        <w:rPr>
          <w:rFonts w:hint="eastAsia" w:ascii="宋体" w:hAnsi="宋体" w:cs="宋体"/>
          <w:sz w:val="24"/>
          <w:shd w:val="clear" w:color="auto" w:fill="FFFFFF"/>
        </w:rPr>
        <w:t>物联网技术监控货物的运营状态，进行有效的仓储监管；及时跟踪货物的流向，对商品进行有效地溯源，了解货物的最新状况及时跟进，确保物流过程中商品质量的可追溯性；进行国际物流风险预警，让外贸企业提前规避风险事件</w:t>
      </w:r>
      <w:r>
        <w:rPr>
          <w:szCs w:val="21"/>
          <w:shd w:val="clear" w:color="auto" w:fill="FFFFFF"/>
          <w:vertAlign w:val="superscript"/>
        </w:rPr>
        <w:t>[1</w:t>
      </w:r>
      <w:r>
        <w:rPr>
          <w:rFonts w:hint="eastAsia"/>
          <w:szCs w:val="21"/>
          <w:shd w:val="clear" w:color="auto" w:fill="FFFFFF"/>
          <w:vertAlign w:val="superscript"/>
          <w:lang w:val="en-US" w:eastAsia="zh-CN"/>
        </w:rPr>
        <w:t>5</w:t>
      </w:r>
      <w:r>
        <w:rPr>
          <w:szCs w:val="21"/>
          <w:shd w:val="clear" w:color="auto" w:fill="FFFFFF"/>
          <w:vertAlign w:val="superscript"/>
        </w:rPr>
        <w:t>][</w:t>
      </w:r>
      <w:r>
        <w:rPr>
          <w:rFonts w:hint="eastAsia"/>
          <w:szCs w:val="21"/>
          <w:shd w:val="clear" w:color="auto" w:fill="FFFFFF"/>
          <w:vertAlign w:val="superscript"/>
        </w:rPr>
        <w:t>1</w:t>
      </w:r>
      <w:r>
        <w:rPr>
          <w:rFonts w:hint="eastAsia"/>
          <w:szCs w:val="21"/>
          <w:shd w:val="clear" w:color="auto" w:fill="FFFFFF"/>
          <w:vertAlign w:val="superscript"/>
          <w:lang w:val="en-US" w:eastAsia="zh-CN"/>
        </w:rPr>
        <w:t>6</w:t>
      </w:r>
      <w:r>
        <w:rPr>
          <w:szCs w:val="21"/>
          <w:shd w:val="clear" w:color="auto" w:fill="FFFFFF"/>
          <w:vertAlign w:val="superscript"/>
        </w:rPr>
        <w:t>]</w:t>
      </w:r>
      <w:r>
        <w:rPr>
          <w:rFonts w:hint="eastAsia" w:ascii="宋体" w:hAnsi="宋体" w:cs="宋体"/>
          <w:sz w:val="24"/>
          <w:shd w:val="clear" w:color="auto" w:fill="FFFFFF"/>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s="宋体"/>
          <w:b/>
          <w:bCs/>
          <w:sz w:val="28"/>
          <w:szCs w:val="28"/>
          <w:shd w:val="clear" w:color="auto" w:fill="FFFFFF"/>
          <w:lang w:val="en-US" w:eastAsia="zh-CN"/>
        </w:rPr>
      </w:pPr>
      <w:r>
        <w:rPr>
          <w:rFonts w:hint="eastAsia" w:ascii="宋体" w:hAnsi="宋体" w:cs="宋体"/>
          <w:b/>
          <w:bCs/>
          <w:sz w:val="28"/>
          <w:szCs w:val="28"/>
          <w:shd w:val="clear" w:color="auto" w:fill="FFFFFF"/>
          <w:lang w:val="en-US" w:eastAsia="zh-CN"/>
        </w:rPr>
        <w:t>5.4 区块链+社交电商</w:t>
      </w:r>
    </w:p>
    <w:p>
      <w:pPr>
        <w:keepNext w:val="0"/>
        <w:keepLines w:val="0"/>
        <w:pageBreakBefore w:val="0"/>
        <w:widowControl w:val="0"/>
        <w:kinsoku/>
        <w:wordWrap/>
        <w:overflowPunct/>
        <w:topLinePunct w:val="0"/>
        <w:autoSpaceDE/>
        <w:autoSpaceDN/>
        <w:bidi w:val="0"/>
        <w:adjustRightInd/>
        <w:snapToGrid/>
        <w:spacing w:line="240" w:lineRule="auto"/>
        <w:ind w:firstLine="541"/>
        <w:textAlignment w:val="auto"/>
        <w:rPr>
          <w:rFonts w:hint="default" w:cs="Times New Roman"/>
          <w:i w:val="0"/>
          <w:iCs w:val="0"/>
          <w:caps w:val="0"/>
          <w:color w:val="191919"/>
          <w:spacing w:val="0"/>
          <w:sz w:val="24"/>
          <w:szCs w:val="24"/>
          <w:shd w:val="clear" w:fill="FFFFFF"/>
          <w:lang w:val="en-US" w:eastAsia="zh-CN"/>
        </w:rPr>
      </w:pPr>
      <w:r>
        <w:rPr>
          <w:rFonts w:hint="eastAsia" w:ascii="宋体" w:hAnsi="宋体" w:cs="宋体"/>
          <w:b w:val="0"/>
          <w:bCs w:val="0"/>
          <w:sz w:val="24"/>
          <w:szCs w:val="24"/>
          <w:shd w:val="clear" w:color="auto" w:fill="FFFFFF"/>
          <w:lang w:val="en-US" w:eastAsia="zh-CN"/>
        </w:rPr>
        <w:t>融入区块链技术的全球社交电商公链</w:t>
      </w:r>
      <w:r>
        <w:rPr>
          <w:rFonts w:hint="default" w:ascii="Times New Roman" w:hAnsi="Times New Roman" w:cs="Times New Roman"/>
          <w:b w:val="0"/>
          <w:bCs w:val="0"/>
          <w:sz w:val="24"/>
          <w:szCs w:val="24"/>
          <w:shd w:val="clear" w:color="auto" w:fill="FFFFFF"/>
          <w:lang w:val="en-US" w:eastAsia="zh-CN"/>
        </w:rPr>
        <w:t>SEG（</w:t>
      </w:r>
      <w:r>
        <w:rPr>
          <w:rFonts w:hint="default" w:ascii="Times New Roman" w:hAnsi="Times New Roman" w:eastAsia="Arial" w:cs="Times New Roman"/>
          <w:i w:val="0"/>
          <w:iCs w:val="0"/>
          <w:caps w:val="0"/>
          <w:color w:val="191919"/>
          <w:spacing w:val="0"/>
          <w:sz w:val="24"/>
          <w:szCs w:val="24"/>
          <w:shd w:val="clear" w:fill="FFFFFF"/>
        </w:rPr>
        <w:t>Social Ecommerce Global</w:t>
      </w:r>
      <w:r>
        <w:rPr>
          <w:rFonts w:hint="default" w:ascii="Times New Roman" w:hAnsi="Times New Roman" w:cs="Times New Roman"/>
          <w:i w:val="0"/>
          <w:iCs w:val="0"/>
          <w:caps w:val="0"/>
          <w:color w:val="191919"/>
          <w:spacing w:val="0"/>
          <w:sz w:val="24"/>
          <w:szCs w:val="24"/>
          <w:shd w:val="clear" w:fill="FFFFFF"/>
          <w:lang w:eastAsia="zh-CN"/>
        </w:rPr>
        <w:t>）</w:t>
      </w:r>
      <w:r>
        <w:rPr>
          <w:rFonts w:hint="eastAsia" w:cs="Times New Roman"/>
          <w:i w:val="0"/>
          <w:iCs w:val="0"/>
          <w:caps w:val="0"/>
          <w:color w:val="191919"/>
          <w:spacing w:val="0"/>
          <w:sz w:val="24"/>
          <w:szCs w:val="24"/>
          <w:shd w:val="clear" w:fill="FFFFFF"/>
          <w:lang w:eastAsia="zh-CN"/>
        </w:rPr>
        <w:t>，</w:t>
      </w:r>
      <w:r>
        <w:rPr>
          <w:rFonts w:hint="eastAsia" w:cs="Times New Roman"/>
          <w:i w:val="0"/>
          <w:iCs w:val="0"/>
          <w:caps w:val="0"/>
          <w:color w:val="191919"/>
          <w:spacing w:val="0"/>
          <w:sz w:val="24"/>
          <w:szCs w:val="24"/>
          <w:shd w:val="clear" w:fill="FFFFFF"/>
          <w:lang w:val="en-US" w:eastAsia="zh-CN"/>
        </w:rPr>
        <w:t>以跨境社交的形式参与商业性传播，实现供应链节点传播的流量变现。以智能合约为基础的O2O线上到线下平台，无需商家入驻费用，交易双方能够实现直接支付</w:t>
      </w:r>
      <w:r>
        <w:rPr>
          <w:rFonts w:hint="eastAsia" w:cs="Times New Roman"/>
          <w:i w:val="0"/>
          <w:iCs w:val="0"/>
          <w:caps w:val="0"/>
          <w:color w:val="191919"/>
          <w:spacing w:val="0"/>
          <w:sz w:val="21"/>
          <w:szCs w:val="21"/>
          <w:shd w:val="clear" w:fill="FFFFFF"/>
          <w:vertAlign w:val="superscript"/>
          <w:lang w:val="en-US" w:eastAsia="zh-CN"/>
        </w:rPr>
        <w:t>[17]</w:t>
      </w:r>
      <w:r>
        <w:rPr>
          <w:rFonts w:hint="eastAsia" w:cs="Times New Roman"/>
          <w:i w:val="0"/>
          <w:iCs w:val="0"/>
          <w:caps w:val="0"/>
          <w:color w:val="191919"/>
          <w:spacing w:val="0"/>
          <w:sz w:val="24"/>
          <w:szCs w:val="24"/>
          <w:shd w:val="clear" w:fill="FFFFFF"/>
          <w:lang w:val="en-US" w:eastAsia="zh-CN"/>
        </w:rPr>
        <w:t>。通过SEG对目标客户进行有效瞄准，不断增加跨境交易量，提升客户终生价值；分布式账本记录下不可篡改的交易信息，助力于构建新型的诚信交易体系，杜绝假冒伪劣、失信、冻结货款等行为的发生</w:t>
      </w:r>
      <w:r>
        <w:rPr>
          <w:rFonts w:hint="eastAsia" w:cs="Times New Roman"/>
          <w:i w:val="0"/>
          <w:iCs w:val="0"/>
          <w:caps w:val="0"/>
          <w:color w:val="191919"/>
          <w:spacing w:val="0"/>
          <w:sz w:val="21"/>
          <w:szCs w:val="21"/>
          <w:shd w:val="clear" w:fill="FFFFFF"/>
          <w:vertAlign w:val="superscript"/>
          <w:lang w:val="en-US" w:eastAsia="zh-CN"/>
        </w:rPr>
        <w:t>[18]</w:t>
      </w:r>
      <w:r>
        <w:rPr>
          <w:rFonts w:hint="eastAsia" w:cs="Times New Roman"/>
          <w:i w:val="0"/>
          <w:iCs w:val="0"/>
          <w:caps w:val="0"/>
          <w:color w:val="191919"/>
          <w:spacing w:val="0"/>
          <w:sz w:val="24"/>
          <w:szCs w:val="24"/>
          <w:shd w:val="clear" w:fill="FFFFFF"/>
          <w:lang w:val="en-US" w:eastAsia="zh-CN"/>
        </w:rPr>
        <w:t>；对商品、广告、数据安全、供应链等达成新共识，重塑社交电商的商业意识，有效规避传统电商的诸多弊端。</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s="宋体"/>
          <w:b/>
          <w:bCs/>
          <w:sz w:val="24"/>
          <w:shd w:val="clear" w:color="auto" w:fill="FFFFFF"/>
          <w:lang w:val="en-US" w:eastAsia="zh-CN"/>
        </w:rPr>
      </w:pPr>
      <w:r>
        <w:rPr>
          <w:rFonts w:hint="eastAsia" w:ascii="宋体" w:hAnsi="宋体" w:cs="宋体"/>
          <w:b/>
          <w:bCs/>
          <w:sz w:val="28"/>
          <w:szCs w:val="28"/>
          <w:shd w:val="clear" w:color="auto" w:fill="FFFFFF"/>
          <w:lang w:val="en-US" w:eastAsia="zh-CN"/>
        </w:rPr>
        <w:t>5.5区块链+风险管控</w:t>
      </w:r>
    </w:p>
    <w:p>
      <w:pPr>
        <w:ind w:firstLine="480"/>
        <w:rPr>
          <w:rFonts w:hint="eastAsia" w:ascii="宋体" w:hAnsi="宋体" w:cs="宋体"/>
          <w:sz w:val="24"/>
          <w:shd w:val="clear" w:color="auto" w:fill="FFFFFF"/>
          <w:lang w:val="en-US" w:eastAsia="zh-CN"/>
        </w:rPr>
      </w:pPr>
      <w:r>
        <w:rPr>
          <w:rFonts w:hint="eastAsia" w:ascii="宋体" w:hAnsi="宋体" w:cs="宋体"/>
          <w:sz w:val="24"/>
          <w:shd w:val="clear" w:color="auto" w:fill="FFFFFF"/>
          <w:lang w:val="en-US" w:eastAsia="zh-CN"/>
        </w:rPr>
        <w:t>以外贸供应链中核心企业为主导，建立联接供应链各节点企业的同盟链，将供应链相关企业的交易数据上传同盟链。为供应链风险指标赋值并制定风控规则，事前对交易进行预测，当交易数据不满足风控规则时，交易进入待审核阶段，若无法采取补救措施则取消交易。借助区块链透明性、不可篡改和留痕性，同盟链企业进行智能合约下有效的交易信息共享，实时监控交易条件和数据变化</w:t>
      </w:r>
      <w:r>
        <w:rPr>
          <w:rFonts w:hint="default" w:ascii="Times New Roman" w:hAnsi="Times New Roman" w:eastAsia="宋体" w:cs="Times New Roman"/>
          <w:color w:val="333333"/>
          <w:sz w:val="21"/>
          <w:szCs w:val="21"/>
          <w:shd w:val="clear" w:fill="FFFFFF"/>
          <w:vertAlign w:val="superscript"/>
        </w:rPr>
        <w:t>[1</w:t>
      </w:r>
      <w:r>
        <w:rPr>
          <w:rFonts w:hint="eastAsia" w:cs="Times New Roman"/>
          <w:color w:val="333333"/>
          <w:sz w:val="21"/>
          <w:szCs w:val="21"/>
          <w:shd w:val="clear" w:fill="FFFFFF"/>
          <w:vertAlign w:val="superscript"/>
          <w:lang w:val="en-US" w:eastAsia="zh-CN"/>
        </w:rPr>
        <w:t>9]</w:t>
      </w:r>
      <w:r>
        <w:rPr>
          <w:rFonts w:hint="eastAsia" w:ascii="宋体" w:hAnsi="宋体" w:cs="宋体"/>
          <w:sz w:val="24"/>
          <w:shd w:val="clear" w:color="auto" w:fill="FFFFFF"/>
          <w:lang w:val="en-US" w:eastAsia="zh-CN"/>
        </w:rPr>
        <w:t>。跨境交易中某一节点发生异样，预估可能发生的供应链风险，制定有效的应对方案并齐力协同解决，有效缓释风险事件对跨境供应链冲击和影响</w:t>
      </w:r>
      <w:r>
        <w:rPr>
          <w:rFonts w:hint="default" w:ascii="Times New Roman" w:hAnsi="Times New Roman" w:cs="Times New Roman"/>
          <w:sz w:val="21"/>
          <w:szCs w:val="21"/>
          <w:shd w:val="clear" w:color="auto" w:fill="FFFFFF"/>
          <w:vertAlign w:val="superscript"/>
          <w:lang w:val="en-US" w:eastAsia="zh-CN"/>
        </w:rPr>
        <w:t>[20]</w:t>
      </w:r>
      <w:r>
        <w:rPr>
          <w:rFonts w:hint="eastAsia" w:ascii="宋体" w:hAnsi="宋体" w:cs="宋体"/>
          <w:sz w:val="24"/>
          <w:shd w:val="clear" w:color="auto" w:fill="FFFFFF"/>
          <w:lang w:val="en-US" w:eastAsia="zh-CN"/>
        </w:rPr>
        <w:t>。</w:t>
      </w:r>
    </w:p>
    <w:p>
      <w:pPr>
        <w:ind w:firstLine="480" w:firstLineChars="200"/>
        <w:rPr>
          <w:rFonts w:ascii="宋体" w:hAnsi="宋体" w:cs="宋体"/>
          <w:szCs w:val="21"/>
          <w:shd w:val="clear" w:color="auto" w:fill="FFFFFF"/>
        </w:rPr>
      </w:pPr>
      <w:r>
        <w:rPr>
          <w:rFonts w:hint="eastAsia" w:ascii="宋体" w:hAnsi="宋体" w:cs="宋体"/>
          <w:sz w:val="24"/>
          <w:shd w:val="clear" w:color="auto" w:fill="FFFFFF"/>
        </w:rPr>
        <w:t>本文在深入外贸企业进行调研基础上，确定了16个外贸供应链风险主要影响因素。</w:t>
      </w:r>
      <w:r>
        <w:rPr>
          <w:rFonts w:hint="eastAsia" w:ascii="宋体" w:hAnsi="宋体" w:cs="宋体"/>
          <w:sz w:val="24"/>
          <w:shd w:val="clear" w:color="auto" w:fill="FFFFFF"/>
          <w:lang w:val="en-US" w:eastAsia="zh-CN"/>
        </w:rPr>
        <w:t>量化各影响因素之间的关系，建立初始矩阵;</w:t>
      </w:r>
      <w:r>
        <w:rPr>
          <w:rFonts w:hint="eastAsia" w:ascii="宋体" w:hAnsi="宋体" w:cs="宋体"/>
          <w:sz w:val="24"/>
          <w:shd w:val="clear" w:color="auto" w:fill="FFFFFF"/>
        </w:rPr>
        <w:t>借助DEMATEL模型的矩阵工具，计算出</w:t>
      </w:r>
      <w:r>
        <w:rPr>
          <w:rFonts w:hint="eastAsia" w:ascii="宋体" w:hAnsi="宋体" w:cs="宋体"/>
          <w:sz w:val="24"/>
          <w:shd w:val="clear" w:color="auto" w:fill="FFFFFF"/>
          <w:lang w:val="en-US" w:eastAsia="zh-CN"/>
        </w:rPr>
        <w:t>综合影响矩，得出</w:t>
      </w:r>
      <w:r>
        <w:rPr>
          <w:rFonts w:hint="eastAsia" w:ascii="宋体" w:hAnsi="宋体" w:cs="宋体"/>
          <w:sz w:val="24"/>
          <w:shd w:val="clear" w:color="auto" w:fill="FFFFFF"/>
        </w:rPr>
        <w:t>外贸供应链风险度量标准值</w:t>
      </w:r>
      <w:r>
        <w:rPr>
          <w:rFonts w:hint="eastAsia" w:ascii="宋体" w:hAnsi="宋体" w:cs="宋体"/>
          <w:sz w:val="24"/>
          <w:shd w:val="clear" w:color="auto" w:fill="FFFFFF"/>
          <w:lang w:val="en-US" w:eastAsia="zh-CN"/>
        </w:rPr>
        <w:t>;</w:t>
      </w:r>
      <w:r>
        <w:rPr>
          <w:rFonts w:hint="eastAsia" w:ascii="宋体" w:hAnsi="宋体" w:cs="宋体"/>
          <w:sz w:val="24"/>
          <w:shd w:val="clear" w:color="auto" w:fill="FFFFFF"/>
        </w:rPr>
        <w:t>并绘制出供应链风险散点图。</w:t>
      </w:r>
      <w:r>
        <w:rPr>
          <w:rFonts w:hint="eastAsia" w:ascii="宋体" w:hAnsi="宋体" w:cs="宋体"/>
          <w:sz w:val="24"/>
          <w:shd w:val="clear" w:color="auto" w:fill="FFFFFF"/>
          <w:lang w:val="en-US" w:eastAsia="zh-CN"/>
        </w:rPr>
        <w:t>借助调查问卷</w:t>
      </w:r>
      <w:r>
        <w:rPr>
          <w:rFonts w:hint="eastAsia" w:ascii="宋体" w:hAnsi="宋体" w:cs="宋体"/>
          <w:sz w:val="24"/>
          <w:shd w:val="clear" w:color="auto" w:fill="FFFFFF"/>
        </w:rPr>
        <w:t>统计</w:t>
      </w:r>
      <w:r>
        <w:rPr>
          <w:rFonts w:hint="eastAsia" w:ascii="宋体" w:hAnsi="宋体" w:cs="宋体"/>
          <w:sz w:val="24"/>
          <w:shd w:val="clear" w:color="auto" w:fill="FFFFFF"/>
          <w:lang w:val="en-US" w:eastAsia="zh-CN"/>
        </w:rPr>
        <w:t>外贸供应链的</w:t>
      </w:r>
      <w:r>
        <w:rPr>
          <w:rFonts w:hint="eastAsia" w:ascii="宋体" w:hAnsi="宋体" w:cs="宋体"/>
          <w:sz w:val="24"/>
          <w:shd w:val="clear" w:color="auto" w:fill="FFFFFF"/>
        </w:rPr>
        <w:t>风险概率和</w:t>
      </w:r>
      <w:r>
        <w:rPr>
          <w:rFonts w:hint="eastAsia" w:ascii="宋体" w:hAnsi="宋体" w:cs="宋体"/>
          <w:sz w:val="24"/>
          <w:shd w:val="clear" w:color="auto" w:fill="FFFFFF"/>
          <w:lang w:val="en-US" w:eastAsia="zh-CN"/>
        </w:rPr>
        <w:t>风险</w:t>
      </w:r>
      <w:r>
        <w:rPr>
          <w:rFonts w:hint="eastAsia" w:ascii="宋体" w:hAnsi="宋体" w:cs="宋体"/>
          <w:sz w:val="24"/>
          <w:shd w:val="clear" w:color="auto" w:fill="FFFFFF"/>
        </w:rPr>
        <w:t>频率，计算出各主要影响因素的风险值。探索新兴的区块链技术以及同其它先进技术手段的融合，不断创新“区块链+外贸”模式，以便外贸企业能及时有效规避供应链风险。本文不足之处是“区块链+</w:t>
      </w:r>
      <w:r>
        <w:rPr>
          <w:rFonts w:ascii="宋体" w:hAnsi="宋体" w:cs="宋体"/>
          <w:sz w:val="24"/>
          <w:shd w:val="clear" w:color="auto" w:fill="FFFFFF"/>
        </w:rPr>
        <w:t>”</w:t>
      </w:r>
      <w:r>
        <w:rPr>
          <w:rFonts w:hint="eastAsia" w:ascii="宋体" w:hAnsi="宋体" w:cs="宋体"/>
          <w:sz w:val="24"/>
          <w:shd w:val="clear" w:color="auto" w:fill="FFFFFF"/>
        </w:rPr>
        <w:t>征信、客户服务、物联网</w:t>
      </w:r>
      <w:r>
        <w:rPr>
          <w:rFonts w:hint="eastAsia" w:ascii="宋体" w:hAnsi="宋体" w:cs="宋体"/>
          <w:sz w:val="24"/>
          <w:shd w:val="clear" w:color="auto" w:fill="FFFFFF"/>
          <w:lang w:eastAsia="zh-CN"/>
        </w:rPr>
        <w:t>、</w:t>
      </w:r>
      <w:r>
        <w:rPr>
          <w:rFonts w:hint="eastAsia" w:ascii="宋体" w:hAnsi="宋体" w:cs="宋体"/>
          <w:sz w:val="24"/>
          <w:shd w:val="clear" w:color="auto" w:fill="FFFFFF"/>
          <w:lang w:val="en-US" w:eastAsia="zh-CN"/>
        </w:rPr>
        <w:t>社交电商</w:t>
      </w:r>
      <w:r>
        <w:rPr>
          <w:rFonts w:hint="eastAsia" w:ascii="宋体" w:hAnsi="宋体" w:cs="宋体"/>
          <w:sz w:val="24"/>
          <w:shd w:val="clear" w:color="auto" w:fill="FFFFFF"/>
          <w:lang w:eastAsia="zh-CN"/>
        </w:rPr>
        <w:t>及风险管控</w:t>
      </w:r>
      <w:r>
        <w:rPr>
          <w:rFonts w:hint="eastAsia" w:ascii="宋体" w:hAnsi="宋体" w:cs="宋体"/>
          <w:sz w:val="24"/>
          <w:shd w:val="clear" w:color="auto" w:fill="FFFFFF"/>
        </w:rPr>
        <w:t>等新模式有待于进一步地实际应用研究。</w:t>
      </w:r>
    </w:p>
    <w:p>
      <w:pPr>
        <w:spacing w:line="276" w:lineRule="auto"/>
        <w:rPr>
          <w:rFonts w:ascii="宋体" w:hAnsi="宋体" w:cs="宋体"/>
          <w:sz w:val="28"/>
          <w:szCs w:val="28"/>
          <w:shd w:val="clear" w:color="auto" w:fill="FFFFFF"/>
        </w:rPr>
      </w:pPr>
      <w:r>
        <w:rPr>
          <w:rFonts w:hint="eastAsia" w:ascii="宋体" w:hAnsi="宋体" w:cs="宋体"/>
          <w:b/>
          <w:bCs/>
          <w:sz w:val="28"/>
          <w:szCs w:val="28"/>
          <w:shd w:val="clear" w:color="auto" w:fill="FFFFFF"/>
        </w:rPr>
        <w:t>参考文献</w:t>
      </w:r>
    </w:p>
    <w:p>
      <w:pPr>
        <w:numPr>
          <w:ilvl w:val="0"/>
          <w:numId w:val="1"/>
        </w:numPr>
        <w:spacing w:line="276" w:lineRule="auto"/>
        <w:rPr>
          <w:rFonts w:hint="eastAsia" w:ascii="宋体" w:hAnsi="宋体" w:eastAsia="宋体" w:cs="宋体"/>
          <w:sz w:val="18"/>
          <w:szCs w:val="18"/>
          <w:shd w:val="clear" w:color="auto" w:fill="FFFFFF"/>
        </w:rPr>
      </w:pPr>
      <w:r>
        <w:rPr>
          <w:rFonts w:hint="eastAsia" w:ascii="宋体" w:hAnsi="宋体" w:eastAsia="宋体" w:cs="宋体"/>
          <w:sz w:val="18"/>
          <w:szCs w:val="18"/>
          <w:shd w:val="clear" w:color="auto" w:fill="FFFFFF"/>
        </w:rPr>
        <w:t>中央网络安全与信息化委员会.“十四五”国家信息化规划[Z].[2021-12-18].</w:t>
      </w:r>
    </w:p>
    <w:p>
      <w:pPr>
        <w:spacing w:line="276" w:lineRule="auto"/>
        <w:rPr>
          <w:rFonts w:hint="eastAsia" w:ascii="宋体" w:hAnsi="宋体" w:eastAsia="宋体" w:cs="宋体"/>
          <w:sz w:val="18"/>
          <w:szCs w:val="18"/>
          <w:shd w:val="clear" w:color="auto" w:fill="FFFFFF"/>
        </w:rPr>
      </w:pPr>
      <w:r>
        <w:rPr>
          <w:rFonts w:hint="eastAsia" w:ascii="宋体" w:hAnsi="宋体" w:eastAsia="宋体" w:cs="宋体"/>
          <w:sz w:val="18"/>
          <w:szCs w:val="18"/>
          <w:shd w:val="clear" w:color="auto" w:fill="FFFFFF"/>
        </w:rPr>
        <w:t>http://www.gov.cn/xinwen/2021-12/28/5664873/files/1760823a103e4d75ac681564fe481af4.pdf.</w:t>
      </w:r>
    </w:p>
    <w:p>
      <w:pPr>
        <w:numPr>
          <w:ilvl w:val="0"/>
          <w:numId w:val="1"/>
        </w:numPr>
        <w:ind w:left="0" w:leftChars="0" w:firstLine="0" w:firstLineChars="0"/>
        <w:rPr>
          <w:rFonts w:hint="eastAsia" w:ascii="宋体" w:hAnsi="宋体" w:eastAsia="宋体" w:cs="宋体"/>
          <w:sz w:val="18"/>
          <w:szCs w:val="18"/>
        </w:rPr>
      </w:pPr>
      <w:r>
        <w:rPr>
          <w:rFonts w:hint="eastAsia" w:ascii="宋体" w:hAnsi="宋体" w:eastAsia="宋体" w:cs="宋体"/>
          <w:sz w:val="18"/>
          <w:szCs w:val="18"/>
        </w:rPr>
        <w:t>邹全胜.要素质量、供应链风险与外贸改进——基于全球事件冲击的分析[J].工业技术经济,2021,40(06):89-97.</w:t>
      </w:r>
    </w:p>
    <w:p>
      <w:pPr>
        <w:pStyle w:val="24"/>
        <w:spacing w:line="276" w:lineRule="auto"/>
        <w:ind w:left="0" w:leftChars="0" w:firstLine="0" w:firstLineChars="0"/>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3</w:t>
      </w:r>
      <w:r>
        <w:rPr>
          <w:rFonts w:hint="eastAsia" w:ascii="宋体" w:hAnsi="宋体" w:eastAsia="宋体" w:cs="宋体"/>
          <w:sz w:val="18"/>
          <w:szCs w:val="18"/>
        </w:rPr>
        <w:t>]张志,李军祥,刘洁,黄芳旧.区块链技术在国际贸易领域中的应用研究[J].物流科技, 2019, 42(11):44-46.</w:t>
      </w:r>
    </w:p>
    <w:p>
      <w:pPr>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4</w:t>
      </w:r>
      <w:r>
        <w:rPr>
          <w:rFonts w:hint="eastAsia" w:ascii="宋体" w:hAnsi="宋体" w:eastAsia="宋体" w:cs="宋体"/>
          <w:sz w:val="18"/>
          <w:szCs w:val="18"/>
        </w:rPr>
        <w:t>]龚强,班铭媛,张一林.区块链、企业数字化与供应链金融创新[J].管理世界,2021,37(02):22-34+3.</w:t>
      </w:r>
    </w:p>
    <w:p>
      <w:pPr>
        <w:rPr>
          <w:rFonts w:hint="eastAsia" w:ascii="宋体" w:hAnsi="宋体" w:eastAsia="宋体" w:cs="宋体"/>
          <w:sz w:val="18"/>
          <w:szCs w:val="18"/>
          <w:shd w:val="clear" w:color="auto" w:fill="FFFFFF"/>
        </w:rPr>
      </w:pPr>
      <w:r>
        <w:rPr>
          <w:rFonts w:hint="eastAsia" w:ascii="宋体" w:hAnsi="宋体" w:eastAsia="宋体" w:cs="宋体"/>
          <w:sz w:val="18"/>
          <w:szCs w:val="18"/>
        </w:rPr>
        <w:t>[</w:t>
      </w:r>
      <w:r>
        <w:rPr>
          <w:rFonts w:hint="eastAsia" w:ascii="宋体" w:hAnsi="宋体" w:eastAsia="宋体" w:cs="宋体"/>
          <w:sz w:val="18"/>
          <w:szCs w:val="18"/>
          <w:lang w:val="en-US" w:eastAsia="zh-CN"/>
        </w:rPr>
        <w:t>5</w:t>
      </w:r>
      <w:r>
        <w:rPr>
          <w:rFonts w:hint="eastAsia" w:ascii="宋体" w:hAnsi="宋体" w:eastAsia="宋体" w:cs="宋体"/>
          <w:sz w:val="18"/>
          <w:szCs w:val="18"/>
        </w:rPr>
        <w:t>]</w:t>
      </w:r>
      <w:r>
        <w:rPr>
          <w:rFonts w:hint="eastAsia" w:ascii="宋体" w:hAnsi="宋体" w:eastAsia="宋体" w:cs="宋体"/>
          <w:sz w:val="18"/>
          <w:szCs w:val="18"/>
          <w:shd w:val="clear" w:color="auto" w:fill="FFFFFF"/>
        </w:rPr>
        <w:t>Ahmed Shoyeb Raihan et al. Integrated Model for Soft Drink Industry Supply Chain Risk Assessment: Implications for Sustainability in Emerging Economies[J]. International Journal of Fuzzy Systems, 2021, : 1-22.</w:t>
      </w:r>
    </w:p>
    <w:p>
      <w:pPr>
        <w:rPr>
          <w:rFonts w:hint="eastAsia" w:ascii="宋体" w:hAnsi="宋体" w:eastAsia="宋体" w:cs="宋体"/>
          <w:sz w:val="18"/>
          <w:szCs w:val="18"/>
          <w:shd w:val="clear" w:color="auto" w:fill="FFFFFF"/>
        </w:rPr>
      </w:pPr>
      <w:r>
        <w:rPr>
          <w:rFonts w:hint="eastAsia" w:ascii="宋体" w:hAnsi="宋体" w:eastAsia="宋体" w:cs="宋体"/>
          <w:sz w:val="18"/>
          <w:szCs w:val="18"/>
          <w:shd w:val="clear" w:color="auto" w:fill="FFFFFF"/>
        </w:rPr>
        <w:t>[</w:t>
      </w:r>
      <w:r>
        <w:rPr>
          <w:rFonts w:hint="eastAsia" w:ascii="宋体" w:hAnsi="宋体" w:eastAsia="宋体" w:cs="宋体"/>
          <w:sz w:val="18"/>
          <w:szCs w:val="18"/>
          <w:shd w:val="clear" w:color="auto" w:fill="FFFFFF"/>
          <w:lang w:val="en-US" w:eastAsia="zh-CN"/>
        </w:rPr>
        <w:t>6</w:t>
      </w:r>
      <w:r>
        <w:rPr>
          <w:rFonts w:hint="eastAsia" w:ascii="宋体" w:hAnsi="宋体" w:eastAsia="宋体" w:cs="宋体"/>
          <w:sz w:val="18"/>
          <w:szCs w:val="18"/>
          <w:shd w:val="clear" w:color="auto" w:fill="FFFFFF"/>
        </w:rPr>
        <w:t>]Olatunde O. Aroge et al. Decision-making model for supply chain risk management in petroleum industry[J]. International Journal of Decision Sciences, Risk and Management, 2021, 9(4).</w:t>
      </w:r>
    </w:p>
    <w:p>
      <w:pPr>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7</w:t>
      </w:r>
      <w:r>
        <w:rPr>
          <w:rFonts w:hint="eastAsia" w:ascii="宋体" w:hAnsi="宋体" w:eastAsia="宋体" w:cs="宋体"/>
          <w:sz w:val="18"/>
          <w:szCs w:val="18"/>
        </w:rPr>
        <w:t>]何丽娜,王国涛,刘珏.基于犹豫模糊DEMATEL与风险屋的供应链风险管理[J].计算机集成制造系统,2021,27(05):1459-1468.</w:t>
      </w:r>
    </w:p>
    <w:p>
      <w:pPr>
        <w:spacing w:line="276" w:lineRule="auto"/>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8</w:t>
      </w:r>
      <w:r>
        <w:rPr>
          <w:rFonts w:hint="eastAsia" w:ascii="宋体" w:hAnsi="宋体" w:eastAsia="宋体" w:cs="宋体"/>
          <w:sz w:val="18"/>
          <w:szCs w:val="18"/>
        </w:rPr>
        <w:t>]朱兴培,张公让,刘勇,雷珊珊,巩栋晨.基于区块链的建筑物资供应链风险因素影响评价研究[J].建筑经济,2021,42(04):57-61.</w:t>
      </w:r>
    </w:p>
    <w:p>
      <w:pPr>
        <w:ind w:left="180" w:hanging="180" w:hangingChars="100"/>
        <w:rPr>
          <w:rFonts w:hint="eastAsia" w:ascii="宋体" w:hAnsi="宋体" w:eastAsia="宋体" w:cs="宋体"/>
          <w:sz w:val="18"/>
          <w:szCs w:val="18"/>
        </w:rPr>
      </w:pPr>
      <w:r>
        <w:rPr>
          <w:rFonts w:hint="eastAsia" w:ascii="宋体" w:hAnsi="宋体" w:eastAsia="宋体" w:cs="宋体"/>
          <w:sz w:val="18"/>
          <w:szCs w:val="18"/>
          <w:shd w:val="clear" w:color="auto" w:fill="FFFFFF"/>
        </w:rPr>
        <w:t>[</w:t>
      </w:r>
      <w:r>
        <w:rPr>
          <w:rFonts w:hint="eastAsia" w:ascii="宋体" w:hAnsi="宋体" w:eastAsia="宋体" w:cs="宋体"/>
          <w:sz w:val="18"/>
          <w:szCs w:val="18"/>
          <w:shd w:val="clear" w:color="auto" w:fill="FFFFFF"/>
          <w:lang w:val="en-US" w:eastAsia="zh-CN"/>
        </w:rPr>
        <w:t>9</w:t>
      </w:r>
      <w:r>
        <w:rPr>
          <w:rFonts w:hint="eastAsia" w:ascii="宋体" w:hAnsi="宋体" w:eastAsia="宋体" w:cs="宋体"/>
          <w:sz w:val="18"/>
          <w:szCs w:val="18"/>
          <w:shd w:val="clear" w:color="auto" w:fill="FFFFFF"/>
        </w:rPr>
        <w:t>]冯珊珊,李永梅.区块链技术在供应链金融信用风险管理中的应用研究[J].征信, 2022,40(02):59-65.</w:t>
      </w:r>
    </w:p>
    <w:p>
      <w:pPr>
        <w:rPr>
          <w:rFonts w:hint="eastAsia" w:ascii="宋体" w:hAnsi="宋体" w:eastAsia="宋体" w:cs="宋体"/>
          <w:color w:val="000000" w:themeColor="text1"/>
          <w:sz w:val="18"/>
          <w:szCs w:val="18"/>
          <w:shd w:val="clear" w:color="auto" w:fill="FFFFFF"/>
          <w14:textFill>
            <w14:solidFill>
              <w14:schemeClr w14:val="tx1"/>
            </w14:solidFill>
          </w14:textFill>
        </w:rPr>
      </w:pPr>
      <w:r>
        <w:rPr>
          <w:rFonts w:hint="eastAsia" w:ascii="宋体" w:hAnsi="宋体" w:eastAsia="宋体" w:cs="宋体"/>
          <w:color w:val="000000" w:themeColor="text1"/>
          <w:sz w:val="18"/>
          <w:szCs w:val="18"/>
          <w:shd w:val="clear" w:color="auto" w:fill="FFFFFF"/>
          <w14:textFill>
            <w14:solidFill>
              <w14:schemeClr w14:val="tx1"/>
            </w14:solidFill>
          </w14:textFill>
        </w:rPr>
        <w:t>[</w:t>
      </w:r>
      <w:r>
        <w:rPr>
          <w:rFonts w:hint="eastAsia" w:ascii="宋体" w:hAnsi="宋体" w:eastAsia="宋体" w:cs="宋体"/>
          <w:color w:val="000000" w:themeColor="text1"/>
          <w:sz w:val="18"/>
          <w:szCs w:val="18"/>
          <w:shd w:val="clear" w:color="auto" w:fill="FFFFFF"/>
          <w:lang w:val="en-US" w:eastAsia="zh-CN"/>
          <w14:textFill>
            <w14:solidFill>
              <w14:schemeClr w14:val="tx1"/>
            </w14:solidFill>
          </w14:textFill>
        </w:rPr>
        <w:t>10</w:t>
      </w:r>
      <w:r>
        <w:rPr>
          <w:rFonts w:hint="eastAsia" w:ascii="宋体" w:hAnsi="宋体" w:eastAsia="宋体" w:cs="宋体"/>
          <w:color w:val="000000" w:themeColor="text1"/>
          <w:sz w:val="18"/>
          <w:szCs w:val="18"/>
          <w:shd w:val="clear" w:color="auto" w:fill="FFFFFF"/>
          <w14:textFill>
            <w14:solidFill>
              <w14:schemeClr w14:val="tx1"/>
            </w14:solidFill>
          </w14:textFill>
        </w:rPr>
        <w:t>]贺志强.小微外贸企业出口应收账款质押融资模式研究——“六稳”“六保”背景下基于跨境区块链平台视角[J].金融理论与实践,2021(10):45-53.</w:t>
      </w:r>
    </w:p>
    <w:p>
      <w:pPr>
        <w:jc w:val="left"/>
        <w:rPr>
          <w:rFonts w:hint="eastAsia" w:ascii="宋体" w:hAnsi="宋体" w:eastAsia="宋体" w:cs="宋体"/>
          <w:sz w:val="18"/>
          <w:szCs w:val="18"/>
          <w:shd w:val="clear" w:color="auto" w:fill="FFFFFF"/>
        </w:rPr>
      </w:pPr>
      <w:r>
        <w:rPr>
          <w:rFonts w:hint="eastAsia" w:ascii="宋体" w:hAnsi="宋体" w:eastAsia="宋体" w:cs="宋体"/>
          <w:sz w:val="18"/>
          <w:szCs w:val="18"/>
          <w:shd w:val="clear" w:color="auto" w:fill="FFFFFF"/>
        </w:rPr>
        <w:t>[</w:t>
      </w:r>
      <w:r>
        <w:rPr>
          <w:rFonts w:hint="eastAsia" w:ascii="宋体" w:hAnsi="宋体" w:eastAsia="宋体" w:cs="宋体"/>
          <w:sz w:val="18"/>
          <w:szCs w:val="18"/>
          <w:shd w:val="clear" w:color="auto" w:fill="FFFFFF"/>
          <w:lang w:val="en-US" w:eastAsia="zh-CN"/>
        </w:rPr>
        <w:t>11</w:t>
      </w:r>
      <w:r>
        <w:rPr>
          <w:rFonts w:hint="eastAsia" w:ascii="宋体" w:hAnsi="宋体" w:eastAsia="宋体" w:cs="宋体"/>
          <w:sz w:val="18"/>
          <w:szCs w:val="18"/>
          <w:shd w:val="clear" w:color="auto" w:fill="FFFFFF"/>
        </w:rPr>
        <w:t>]张启明,陆建华,李守智,徐建栋.基于区块链构建新型企业客户服务技术平台[J].计算机科学,2020,47(S1):639-642.</w:t>
      </w:r>
    </w:p>
    <w:p>
      <w:pPr>
        <w:rPr>
          <w:rFonts w:hint="eastAsia" w:ascii="宋体" w:hAnsi="宋体" w:eastAsia="宋体" w:cs="宋体"/>
          <w:sz w:val="18"/>
          <w:szCs w:val="18"/>
        </w:rPr>
      </w:pPr>
      <w:r>
        <w:rPr>
          <w:rFonts w:hint="eastAsia" w:ascii="宋体" w:hAnsi="宋体" w:eastAsia="宋体" w:cs="宋体"/>
          <w:sz w:val="18"/>
          <w:szCs w:val="18"/>
        </w:rPr>
        <w:t>[1</w:t>
      </w:r>
      <w:r>
        <w:rPr>
          <w:rFonts w:hint="eastAsia" w:ascii="宋体" w:hAnsi="宋体" w:eastAsia="宋体" w:cs="宋体"/>
          <w:sz w:val="18"/>
          <w:szCs w:val="18"/>
          <w:lang w:val="en-US" w:eastAsia="zh-CN"/>
        </w:rPr>
        <w:t>2</w:t>
      </w:r>
      <w:r>
        <w:rPr>
          <w:rFonts w:hint="eastAsia" w:ascii="宋体" w:hAnsi="宋体" w:eastAsia="宋体" w:cs="宋体"/>
          <w:sz w:val="18"/>
          <w:szCs w:val="18"/>
        </w:rPr>
        <w:t>]李沐.区块链+供应链金融应用中的模式及风险研究[J].物流工程与管理,2020,42(12):65-67.</w:t>
      </w:r>
    </w:p>
    <w:p>
      <w:pPr>
        <w:rPr>
          <w:rFonts w:hint="eastAsia" w:ascii="宋体" w:hAnsi="宋体" w:eastAsia="宋体" w:cs="宋体"/>
          <w:sz w:val="18"/>
          <w:szCs w:val="18"/>
        </w:rPr>
      </w:pPr>
      <w:r>
        <w:rPr>
          <w:rFonts w:hint="eastAsia" w:ascii="宋体" w:hAnsi="宋体" w:eastAsia="宋体" w:cs="宋体"/>
          <w:sz w:val="18"/>
          <w:szCs w:val="18"/>
          <w:shd w:val="clear" w:color="auto" w:fill="FFFFFF"/>
        </w:rPr>
        <w:t>[1</w:t>
      </w:r>
      <w:r>
        <w:rPr>
          <w:rFonts w:hint="eastAsia" w:ascii="宋体" w:hAnsi="宋体" w:eastAsia="宋体" w:cs="宋体"/>
          <w:sz w:val="18"/>
          <w:szCs w:val="18"/>
          <w:shd w:val="clear" w:color="auto" w:fill="FFFFFF"/>
          <w:lang w:val="en-US" w:eastAsia="zh-CN"/>
        </w:rPr>
        <w:t>3</w:t>
      </w:r>
      <w:r>
        <w:rPr>
          <w:rFonts w:hint="eastAsia" w:ascii="宋体" w:hAnsi="宋体" w:eastAsia="宋体" w:cs="宋体"/>
          <w:sz w:val="18"/>
          <w:szCs w:val="18"/>
          <w:shd w:val="clear" w:color="auto" w:fill="FFFFFF"/>
        </w:rPr>
        <w:t>]Kumar S. Ganesh et al. IoT–smart contracts in data trusted exchange supplied chain based on block chain[J]. International Journal of Electrical and Computer Engineering (IJECE), 2020, 10(1) : 438-446.</w:t>
      </w:r>
    </w:p>
    <w:p>
      <w:pPr>
        <w:rPr>
          <w:rFonts w:hint="eastAsia" w:ascii="宋体" w:hAnsi="宋体" w:eastAsia="宋体" w:cs="宋体"/>
          <w:sz w:val="18"/>
          <w:szCs w:val="18"/>
          <w:shd w:val="clear" w:color="auto" w:fill="FFFFFF"/>
        </w:rPr>
      </w:pPr>
      <w:r>
        <w:rPr>
          <w:rFonts w:hint="eastAsia" w:ascii="宋体" w:hAnsi="宋体" w:eastAsia="宋体" w:cs="宋体"/>
          <w:sz w:val="18"/>
          <w:szCs w:val="18"/>
          <w:shd w:val="clear" w:color="auto" w:fill="FFFFFF"/>
        </w:rPr>
        <w:t>[1</w:t>
      </w:r>
      <w:r>
        <w:rPr>
          <w:rFonts w:hint="eastAsia" w:ascii="宋体" w:hAnsi="宋体" w:eastAsia="宋体" w:cs="宋体"/>
          <w:sz w:val="18"/>
          <w:szCs w:val="18"/>
          <w:shd w:val="clear" w:color="auto" w:fill="FFFFFF"/>
          <w:lang w:val="en-US" w:eastAsia="zh-CN"/>
        </w:rPr>
        <w:t>4</w:t>
      </w:r>
      <w:r>
        <w:rPr>
          <w:rFonts w:hint="eastAsia" w:ascii="宋体" w:hAnsi="宋体" w:eastAsia="宋体" w:cs="宋体"/>
          <w:sz w:val="18"/>
          <w:szCs w:val="18"/>
          <w:shd w:val="clear" w:color="auto" w:fill="FFFFFF"/>
        </w:rPr>
        <w:t>]Shu Xu et al. The impact of blockchain technology on the cost of food traceability supply chain[J]. IOP Conference Series: Earth and Environmental Science, 2020, 615(1) : 012003-.</w:t>
      </w:r>
    </w:p>
    <w:p>
      <w:pPr>
        <w:rPr>
          <w:rFonts w:hint="eastAsia" w:ascii="宋体" w:hAnsi="宋体" w:eastAsia="宋体" w:cs="宋体"/>
          <w:sz w:val="18"/>
          <w:szCs w:val="18"/>
        </w:rPr>
      </w:pPr>
      <w:r>
        <w:rPr>
          <w:rFonts w:hint="eastAsia" w:ascii="宋体" w:hAnsi="宋体" w:eastAsia="宋体" w:cs="宋体"/>
          <w:sz w:val="18"/>
          <w:szCs w:val="18"/>
          <w:shd w:val="clear" w:color="auto" w:fill="FFFFFF"/>
        </w:rPr>
        <w:t>[1</w:t>
      </w:r>
      <w:r>
        <w:rPr>
          <w:rFonts w:hint="eastAsia" w:ascii="宋体" w:hAnsi="宋体" w:eastAsia="宋体" w:cs="宋体"/>
          <w:sz w:val="18"/>
          <w:szCs w:val="18"/>
          <w:shd w:val="clear" w:color="auto" w:fill="FFFFFF"/>
          <w:lang w:val="en-US" w:eastAsia="zh-CN"/>
        </w:rPr>
        <w:t>5</w:t>
      </w:r>
      <w:r>
        <w:rPr>
          <w:rFonts w:hint="eastAsia" w:ascii="宋体" w:hAnsi="宋体" w:eastAsia="宋体" w:cs="宋体"/>
          <w:sz w:val="18"/>
          <w:szCs w:val="18"/>
          <w:shd w:val="clear" w:color="auto" w:fill="FFFFFF"/>
        </w:rPr>
        <w:t>]Huiqun Yuan et al. Analysis of coordination mechanism of supply chain management information system from the perspective of block chain[J]. Information Systems and e-Business Management, 2019, 1-23.</w:t>
      </w:r>
    </w:p>
    <w:p>
      <w:pPr>
        <w:rPr>
          <w:rFonts w:hint="eastAsia" w:ascii="宋体" w:hAnsi="宋体" w:eastAsia="宋体" w:cs="宋体"/>
          <w:sz w:val="18"/>
          <w:szCs w:val="18"/>
          <w:shd w:val="clear" w:color="auto" w:fill="FFFFFF"/>
        </w:rPr>
      </w:pPr>
      <w:r>
        <w:rPr>
          <w:rFonts w:hint="eastAsia" w:ascii="宋体" w:hAnsi="宋体" w:eastAsia="宋体" w:cs="宋体"/>
          <w:sz w:val="18"/>
          <w:szCs w:val="18"/>
          <w:shd w:val="clear" w:color="auto" w:fill="FFFFFF"/>
        </w:rPr>
        <w:t>[1</w:t>
      </w:r>
      <w:r>
        <w:rPr>
          <w:rFonts w:hint="eastAsia" w:ascii="宋体" w:hAnsi="宋体" w:eastAsia="宋体" w:cs="宋体"/>
          <w:sz w:val="18"/>
          <w:szCs w:val="18"/>
          <w:shd w:val="clear" w:color="auto" w:fill="FFFFFF"/>
          <w:lang w:val="en-US" w:eastAsia="zh-CN"/>
        </w:rPr>
        <w:t>6</w:t>
      </w:r>
      <w:r>
        <w:rPr>
          <w:rFonts w:hint="eastAsia" w:ascii="宋体" w:hAnsi="宋体" w:eastAsia="宋体" w:cs="宋体"/>
          <w:sz w:val="18"/>
          <w:szCs w:val="18"/>
          <w:shd w:val="clear" w:color="auto" w:fill="FFFFFF"/>
        </w:rPr>
        <w:t>]欧阳日辉,李林珂.区块链技术促进贸易创新发展的作用机制与路径[J].国际贸易,2022(02):47-57.DOI:10.14114/j.cnki.itrade.2022.02.008.</w:t>
      </w:r>
    </w:p>
    <w:p>
      <w:pPr>
        <w:spacing w:line="276" w:lineRule="auto"/>
        <w:rPr>
          <w:rFonts w:hint="eastAsia" w:ascii="宋体" w:hAnsi="宋体" w:eastAsia="宋体" w:cs="宋体"/>
          <w:sz w:val="18"/>
          <w:szCs w:val="18"/>
          <w:shd w:val="clear" w:color="auto" w:fill="FFFFFF"/>
        </w:rPr>
      </w:pPr>
      <w:r>
        <w:rPr>
          <w:rFonts w:hint="eastAsia" w:ascii="宋体" w:hAnsi="宋体" w:eastAsia="宋体" w:cs="宋体"/>
          <w:sz w:val="18"/>
          <w:szCs w:val="18"/>
          <w:lang w:val="en-US" w:eastAsia="zh-CN"/>
        </w:rPr>
        <w:t>[17</w:t>
      </w:r>
      <w:r>
        <w:rPr>
          <w:rFonts w:hint="eastAsia" w:ascii="宋体" w:hAnsi="宋体" w:eastAsia="宋体" w:cs="宋体"/>
          <w:sz w:val="18"/>
          <w:szCs w:val="18"/>
        </w:rPr>
        <w:t>]龚祯.基于复杂网络理论的电商供应链风险预测方法研究[J].西南师范大学学报(自然科学版), 2021,46(03):39-44.</w:t>
      </w:r>
    </w:p>
    <w:p>
      <w:pPr>
        <w:rPr>
          <w:rFonts w:hint="eastAsia" w:ascii="宋体" w:hAnsi="宋体" w:eastAsia="宋体" w:cs="宋体"/>
          <w:sz w:val="18"/>
          <w:szCs w:val="18"/>
          <w:shd w:val="clear" w:color="auto" w:fill="FFFFFF"/>
        </w:rPr>
      </w:pPr>
      <w:r>
        <w:rPr>
          <w:rFonts w:hint="eastAsia" w:ascii="宋体" w:hAnsi="宋体" w:eastAsia="宋体" w:cs="宋体"/>
          <w:sz w:val="18"/>
          <w:szCs w:val="18"/>
          <w:shd w:val="clear" w:color="auto" w:fill="FFFFFF"/>
        </w:rPr>
        <w:t>[1</w:t>
      </w:r>
      <w:r>
        <w:rPr>
          <w:rFonts w:hint="eastAsia" w:ascii="宋体" w:hAnsi="宋体" w:eastAsia="宋体" w:cs="宋体"/>
          <w:sz w:val="18"/>
          <w:szCs w:val="18"/>
          <w:shd w:val="clear" w:color="auto" w:fill="FFFFFF"/>
          <w:lang w:val="en-US" w:eastAsia="zh-CN"/>
        </w:rPr>
        <w:t>8</w:t>
      </w:r>
      <w:r>
        <w:rPr>
          <w:rFonts w:hint="eastAsia" w:ascii="宋体" w:hAnsi="宋体" w:eastAsia="宋体" w:cs="宋体"/>
          <w:sz w:val="18"/>
          <w:szCs w:val="18"/>
          <w:shd w:val="clear" w:color="auto" w:fill="FFFFFF"/>
        </w:rPr>
        <w:t>]汪青松,罗娜.社交电商的信用保障机制异化与重塑[J].西南政法大学学报,2021,23(04):133-141.</w:t>
      </w:r>
    </w:p>
    <w:p>
      <w:pPr>
        <w:rPr>
          <w:rFonts w:hint="eastAsia" w:ascii="宋体" w:hAnsi="宋体" w:eastAsia="宋体" w:cs="宋体"/>
          <w:sz w:val="18"/>
          <w:szCs w:val="18"/>
        </w:rPr>
      </w:pPr>
      <w:r>
        <w:rPr>
          <w:rFonts w:hint="eastAsia" w:ascii="宋体" w:hAnsi="宋体" w:eastAsia="宋体" w:cs="宋体"/>
          <w:color w:val="333333"/>
          <w:sz w:val="18"/>
          <w:szCs w:val="18"/>
          <w:shd w:val="clear" w:fill="FFFFFF"/>
        </w:rPr>
        <w:t>[1</w:t>
      </w:r>
      <w:r>
        <w:rPr>
          <w:rFonts w:hint="eastAsia" w:ascii="宋体" w:hAnsi="宋体" w:eastAsia="宋体" w:cs="宋体"/>
          <w:color w:val="333333"/>
          <w:sz w:val="18"/>
          <w:szCs w:val="18"/>
          <w:shd w:val="clear" w:fill="FFFFFF"/>
          <w:lang w:val="en-US" w:eastAsia="zh-CN"/>
        </w:rPr>
        <w:t>9</w:t>
      </w:r>
      <w:r>
        <w:rPr>
          <w:rFonts w:hint="eastAsia" w:ascii="宋体" w:hAnsi="宋体" w:eastAsia="宋体" w:cs="宋体"/>
          <w:color w:val="333333"/>
          <w:sz w:val="18"/>
          <w:szCs w:val="18"/>
          <w:shd w:val="clear" w:fill="FFFFFF"/>
        </w:rPr>
        <w:t>]郝丽,冯路</w:t>
      </w:r>
      <w:r>
        <w:rPr>
          <w:rFonts w:hint="eastAsia" w:ascii="宋体" w:hAnsi="宋体" w:eastAsia="宋体" w:cs="宋体"/>
          <w:color w:val="333333"/>
          <w:sz w:val="18"/>
          <w:szCs w:val="18"/>
          <w:shd w:val="clear" w:fill="FFFFFF"/>
          <w:lang w:val="en-US" w:eastAsia="zh-CN"/>
        </w:rPr>
        <w:t>.</w:t>
      </w:r>
      <w:r>
        <w:rPr>
          <w:rFonts w:hint="eastAsia" w:ascii="宋体" w:hAnsi="宋体" w:eastAsia="宋体" w:cs="宋体"/>
          <w:color w:val="333333"/>
          <w:sz w:val="18"/>
          <w:szCs w:val="18"/>
          <w:shd w:val="clear" w:fill="FFFFFF"/>
        </w:rPr>
        <w:t>“互联网+区块链”智能合约驱动下生鲜供应链风险管控机制[J].物流技术,2022,41(03):90-98.</w:t>
      </w:r>
    </w:p>
    <w:p>
      <w:pPr>
        <w:spacing w:line="276" w:lineRule="auto"/>
        <w:rPr>
          <w:rFonts w:hint="eastAsia" w:ascii="宋体" w:hAnsi="宋体" w:eastAsia="宋体" w:cs="宋体"/>
          <w:sz w:val="18"/>
          <w:szCs w:val="18"/>
        </w:rPr>
      </w:pPr>
      <w:r>
        <w:rPr>
          <w:rFonts w:hint="eastAsia" w:ascii="宋体" w:hAnsi="宋体" w:eastAsia="宋体" w:cs="宋体"/>
          <w:sz w:val="18"/>
          <w:szCs w:val="18"/>
        </w:rPr>
        <w:t>[2</w:t>
      </w:r>
      <w:r>
        <w:rPr>
          <w:rFonts w:hint="eastAsia" w:ascii="宋体" w:hAnsi="宋体" w:eastAsia="宋体" w:cs="宋体"/>
          <w:sz w:val="18"/>
          <w:szCs w:val="18"/>
          <w:lang w:val="en-US" w:eastAsia="zh-CN"/>
        </w:rPr>
        <w:t>0</w:t>
      </w:r>
      <w:r>
        <w:rPr>
          <w:rFonts w:hint="eastAsia" w:ascii="宋体" w:hAnsi="宋体" w:eastAsia="宋体" w:cs="宋体"/>
          <w:sz w:val="18"/>
          <w:szCs w:val="18"/>
        </w:rPr>
        <w:t>]马欣员,钟若愚.基于区块链创新耦合的新型供应链生态体系与制度建构[J/OL].新疆师范大学学报(哲学社会科学版),2021(02):1-11[2021-01-11].</w:t>
      </w:r>
    </w:p>
    <w:p>
      <w:pPr>
        <w:rPr>
          <w:rFonts w:hint="eastAsia" w:ascii="宋体" w:hAnsi="宋体" w:eastAsia="宋体" w:cs="宋体"/>
          <w:sz w:val="18"/>
          <w:szCs w:val="18"/>
          <w:shd w:val="clear" w:color="auto" w:fill="FFFFFF"/>
        </w:rPr>
      </w:pPr>
    </w:p>
    <w:p>
      <w:pPr>
        <w:jc w:val="left"/>
        <w:rPr>
          <w:rFonts w:ascii="宋体" w:hAnsi="宋体" w:cs="宋体"/>
          <w:szCs w:val="21"/>
          <w:shd w:val="clear" w:color="auto" w:fill="FFFFFF"/>
        </w:rPr>
      </w:pPr>
    </w:p>
    <w:p>
      <w:pPr>
        <w:jc w:val="left"/>
        <w:rPr>
          <w:rFonts w:ascii="宋体" w:hAnsi="宋体" w:cs="宋体"/>
          <w:szCs w:val="21"/>
          <w:shd w:val="clear" w:color="auto" w:fill="FFFFFF"/>
        </w:rPr>
      </w:pPr>
      <w:r>
        <w:rPr>
          <w:rFonts w:hint="eastAsia" w:ascii="宋体" w:hAnsi="宋体" w:cs="宋体"/>
          <w:szCs w:val="21"/>
          <w:shd w:val="clear" w:color="auto" w:fill="FFFFFF"/>
        </w:rPr>
        <w:t xml:space="preserve">（通讯作者：范娥娟 13225914856  </w:t>
      </w:r>
      <w:r>
        <w:fldChar w:fldCharType="begin"/>
      </w:r>
      <w:r>
        <w:instrText xml:space="preserve"> HYPERLINK "mailto:912269630@qq.com" </w:instrText>
      </w:r>
      <w:r>
        <w:fldChar w:fldCharType="separate"/>
      </w:r>
      <w:r>
        <w:rPr>
          <w:rStyle w:val="14"/>
          <w:rFonts w:hint="eastAsia" w:ascii="宋体" w:hAnsi="宋体" w:cs="宋体"/>
          <w:szCs w:val="21"/>
          <w:shd w:val="clear" w:color="auto" w:fill="FFFFFF"/>
        </w:rPr>
        <w:t>912269630@qq.com</w:t>
      </w:r>
      <w:r>
        <w:rPr>
          <w:rStyle w:val="14"/>
          <w:rFonts w:hint="eastAsia" w:ascii="宋体" w:hAnsi="宋体" w:cs="宋体"/>
          <w:szCs w:val="21"/>
          <w:shd w:val="clear" w:color="auto" w:fill="FFFFFF"/>
        </w:rPr>
        <w:fldChar w:fldCharType="end"/>
      </w:r>
      <w:r>
        <w:rPr>
          <w:rFonts w:hint="eastAsia" w:ascii="宋体" w:hAnsi="宋体" w:cs="宋体"/>
          <w:szCs w:val="21"/>
          <w:shd w:val="clear" w:color="auto" w:fill="FFFFFF"/>
        </w:rPr>
        <w:t xml:space="preserve"> 福州市仓山区滨洲路15号吉苑A8幢103室 ）       </w:t>
      </w:r>
    </w:p>
    <w:sectPr>
      <w:footerReference r:id="rId3" w:type="firs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兰亭刊宋_GBK">
    <w:altName w:val="宋体"/>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rFonts w:ascii="Calibri" w:hAnsi="Calibri" w:cs="Calibri"/>
      </w:rPr>
      <w:t>①</w:t>
    </w:r>
    <w:r>
      <w:rPr>
        <w:rFonts w:hint="eastAsia"/>
      </w:rPr>
      <w:t>本文系福建省中青年教师教育科研（信息化专项）基金项目“基于区块链技术的外贸供应链风险评价与规避新模式研究”（编号:</w:t>
    </w:r>
    <w:r>
      <w:rPr>
        <w:rFonts w:hint="eastAsia" w:ascii="宋体" w:cs="宋体"/>
      </w:rPr>
      <w:t>JAT</w:t>
    </w:r>
    <w:r>
      <w:rPr>
        <w:rFonts w:ascii="宋体" w:cs="宋体"/>
      </w:rPr>
      <w:t>211024</w:t>
    </w:r>
    <w:r>
      <w:rPr>
        <w:rFonts w:hint="eastAsia" w:ascii="宋体" w:cs="宋体"/>
      </w:rPr>
      <w:t>)</w:t>
    </w:r>
    <w:r>
      <w:rPr>
        <w:rFonts w:hint="eastAsia"/>
      </w:rPr>
      <w:t>的研究成果之一。</w:t>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98FF5D"/>
    <w:multiLevelType w:val="singleLevel"/>
    <w:tmpl w:val="D198FF5D"/>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wYTFmNjQzZDg1ZTBhZTg4ZGVhNDUzZDFkY2JkODYifQ=="/>
  </w:docVars>
  <w:rsids>
    <w:rsidRoot w:val="009E1796"/>
    <w:rsid w:val="00002C5F"/>
    <w:rsid w:val="00071B5A"/>
    <w:rsid w:val="000A5B80"/>
    <w:rsid w:val="000A6B7F"/>
    <w:rsid w:val="00162EA9"/>
    <w:rsid w:val="001907E3"/>
    <w:rsid w:val="002151E6"/>
    <w:rsid w:val="002C296E"/>
    <w:rsid w:val="00323322"/>
    <w:rsid w:val="00340CE7"/>
    <w:rsid w:val="00382C7F"/>
    <w:rsid w:val="00414370"/>
    <w:rsid w:val="00462AB8"/>
    <w:rsid w:val="00470B8C"/>
    <w:rsid w:val="004B2D07"/>
    <w:rsid w:val="004B6140"/>
    <w:rsid w:val="004B791B"/>
    <w:rsid w:val="00501392"/>
    <w:rsid w:val="005D7811"/>
    <w:rsid w:val="005E3BD4"/>
    <w:rsid w:val="005F0691"/>
    <w:rsid w:val="0068158E"/>
    <w:rsid w:val="00702ACB"/>
    <w:rsid w:val="0076523A"/>
    <w:rsid w:val="00767D0F"/>
    <w:rsid w:val="00767F63"/>
    <w:rsid w:val="0079729E"/>
    <w:rsid w:val="00797A0A"/>
    <w:rsid w:val="007E1670"/>
    <w:rsid w:val="007E1C92"/>
    <w:rsid w:val="009122C5"/>
    <w:rsid w:val="00945829"/>
    <w:rsid w:val="009E1796"/>
    <w:rsid w:val="009F191D"/>
    <w:rsid w:val="00A22028"/>
    <w:rsid w:val="00A71EFE"/>
    <w:rsid w:val="00AB3EF6"/>
    <w:rsid w:val="00C57682"/>
    <w:rsid w:val="00D5158C"/>
    <w:rsid w:val="00D754D4"/>
    <w:rsid w:val="00E3332A"/>
    <w:rsid w:val="00E81546"/>
    <w:rsid w:val="02FB6641"/>
    <w:rsid w:val="03087335"/>
    <w:rsid w:val="035A1797"/>
    <w:rsid w:val="0371157F"/>
    <w:rsid w:val="04BD1B14"/>
    <w:rsid w:val="05733E11"/>
    <w:rsid w:val="058175A1"/>
    <w:rsid w:val="05B20E13"/>
    <w:rsid w:val="064831C0"/>
    <w:rsid w:val="0699020B"/>
    <w:rsid w:val="07842812"/>
    <w:rsid w:val="08C34690"/>
    <w:rsid w:val="08E21A63"/>
    <w:rsid w:val="09570789"/>
    <w:rsid w:val="09E717C0"/>
    <w:rsid w:val="0A865ACB"/>
    <w:rsid w:val="0B434070"/>
    <w:rsid w:val="0C366DFE"/>
    <w:rsid w:val="0CD65AB9"/>
    <w:rsid w:val="0CF85B4E"/>
    <w:rsid w:val="0D2A0B2F"/>
    <w:rsid w:val="0D767C09"/>
    <w:rsid w:val="0DC31FB5"/>
    <w:rsid w:val="0E050F6B"/>
    <w:rsid w:val="0E960511"/>
    <w:rsid w:val="0EDF3A5D"/>
    <w:rsid w:val="0F685AE4"/>
    <w:rsid w:val="0F9B2E68"/>
    <w:rsid w:val="10736E93"/>
    <w:rsid w:val="11680962"/>
    <w:rsid w:val="11FB5EBD"/>
    <w:rsid w:val="124A4BA6"/>
    <w:rsid w:val="13236718"/>
    <w:rsid w:val="136E0BA9"/>
    <w:rsid w:val="15162501"/>
    <w:rsid w:val="17A952F7"/>
    <w:rsid w:val="17F16571"/>
    <w:rsid w:val="195D4609"/>
    <w:rsid w:val="1A5F6427"/>
    <w:rsid w:val="1AAD49CB"/>
    <w:rsid w:val="1AD75285"/>
    <w:rsid w:val="1B8229A5"/>
    <w:rsid w:val="1CB77D73"/>
    <w:rsid w:val="1ED40C08"/>
    <w:rsid w:val="20252762"/>
    <w:rsid w:val="20426C11"/>
    <w:rsid w:val="20724B38"/>
    <w:rsid w:val="20F128D8"/>
    <w:rsid w:val="21747D24"/>
    <w:rsid w:val="21D83D7B"/>
    <w:rsid w:val="21EC46A8"/>
    <w:rsid w:val="25252325"/>
    <w:rsid w:val="2571691D"/>
    <w:rsid w:val="26E32E7A"/>
    <w:rsid w:val="275C6643"/>
    <w:rsid w:val="284A5C9B"/>
    <w:rsid w:val="289C4636"/>
    <w:rsid w:val="2A161CED"/>
    <w:rsid w:val="2A5F3645"/>
    <w:rsid w:val="2AE90D9C"/>
    <w:rsid w:val="2B0B1AFB"/>
    <w:rsid w:val="2B69040A"/>
    <w:rsid w:val="2BAB005B"/>
    <w:rsid w:val="2BE545FC"/>
    <w:rsid w:val="2BFB1A2B"/>
    <w:rsid w:val="2C08525A"/>
    <w:rsid w:val="2CB55E3F"/>
    <w:rsid w:val="2CC71A03"/>
    <w:rsid w:val="2DD37861"/>
    <w:rsid w:val="2E363A12"/>
    <w:rsid w:val="2E742673"/>
    <w:rsid w:val="2F4D56BE"/>
    <w:rsid w:val="2F8C52D8"/>
    <w:rsid w:val="2FD55EB5"/>
    <w:rsid w:val="30264A46"/>
    <w:rsid w:val="30B654E5"/>
    <w:rsid w:val="32352803"/>
    <w:rsid w:val="323C4600"/>
    <w:rsid w:val="326D6065"/>
    <w:rsid w:val="32B0784A"/>
    <w:rsid w:val="333503C2"/>
    <w:rsid w:val="335B5BDA"/>
    <w:rsid w:val="346E123C"/>
    <w:rsid w:val="34C44675"/>
    <w:rsid w:val="35046BB6"/>
    <w:rsid w:val="35F95E07"/>
    <w:rsid w:val="367D299E"/>
    <w:rsid w:val="37380928"/>
    <w:rsid w:val="382D1C71"/>
    <w:rsid w:val="383F08BB"/>
    <w:rsid w:val="385E377A"/>
    <w:rsid w:val="38C22BCA"/>
    <w:rsid w:val="38EE4A5F"/>
    <w:rsid w:val="391D7868"/>
    <w:rsid w:val="39D32C64"/>
    <w:rsid w:val="3AE44672"/>
    <w:rsid w:val="3B3F301D"/>
    <w:rsid w:val="3BCF518A"/>
    <w:rsid w:val="3BD671BC"/>
    <w:rsid w:val="3CF578B9"/>
    <w:rsid w:val="3F71076A"/>
    <w:rsid w:val="403360F3"/>
    <w:rsid w:val="4075282A"/>
    <w:rsid w:val="40FC7D4B"/>
    <w:rsid w:val="41C94FE2"/>
    <w:rsid w:val="42342E50"/>
    <w:rsid w:val="432E7715"/>
    <w:rsid w:val="4348580A"/>
    <w:rsid w:val="43B2556C"/>
    <w:rsid w:val="43CC3DA3"/>
    <w:rsid w:val="43CC6E94"/>
    <w:rsid w:val="456F0AA6"/>
    <w:rsid w:val="464E1381"/>
    <w:rsid w:val="46C265B2"/>
    <w:rsid w:val="4755113B"/>
    <w:rsid w:val="47996D57"/>
    <w:rsid w:val="47C87B80"/>
    <w:rsid w:val="483263D1"/>
    <w:rsid w:val="4A715128"/>
    <w:rsid w:val="4A985F30"/>
    <w:rsid w:val="4C5B60D2"/>
    <w:rsid w:val="4C5E4EE8"/>
    <w:rsid w:val="4C753CDB"/>
    <w:rsid w:val="4D243D6B"/>
    <w:rsid w:val="4D2A6931"/>
    <w:rsid w:val="4DDE1F2D"/>
    <w:rsid w:val="4F4C1D8A"/>
    <w:rsid w:val="4FBB574B"/>
    <w:rsid w:val="50491808"/>
    <w:rsid w:val="51842495"/>
    <w:rsid w:val="54047509"/>
    <w:rsid w:val="5434025D"/>
    <w:rsid w:val="559F3730"/>
    <w:rsid w:val="55AF4825"/>
    <w:rsid w:val="56540BCF"/>
    <w:rsid w:val="57983288"/>
    <w:rsid w:val="585546C2"/>
    <w:rsid w:val="586E2229"/>
    <w:rsid w:val="58953164"/>
    <w:rsid w:val="58C1584E"/>
    <w:rsid w:val="58F635DE"/>
    <w:rsid w:val="597E509E"/>
    <w:rsid w:val="5A0F163F"/>
    <w:rsid w:val="5A6E5909"/>
    <w:rsid w:val="5B0C6089"/>
    <w:rsid w:val="5B2F23BB"/>
    <w:rsid w:val="5B6D30B4"/>
    <w:rsid w:val="5D8365CC"/>
    <w:rsid w:val="5DCF5EBA"/>
    <w:rsid w:val="5E1C5437"/>
    <w:rsid w:val="5F0F2C41"/>
    <w:rsid w:val="5F2B62FE"/>
    <w:rsid w:val="5F400A76"/>
    <w:rsid w:val="5F447E15"/>
    <w:rsid w:val="5F620D53"/>
    <w:rsid w:val="5FA56B3E"/>
    <w:rsid w:val="602053E7"/>
    <w:rsid w:val="60325913"/>
    <w:rsid w:val="603F70DD"/>
    <w:rsid w:val="60AC5E39"/>
    <w:rsid w:val="60AF1486"/>
    <w:rsid w:val="60D63BB5"/>
    <w:rsid w:val="61686741"/>
    <w:rsid w:val="63964F8B"/>
    <w:rsid w:val="63AA6477"/>
    <w:rsid w:val="64700E23"/>
    <w:rsid w:val="64EF4A34"/>
    <w:rsid w:val="650C332C"/>
    <w:rsid w:val="65407E20"/>
    <w:rsid w:val="65B639A5"/>
    <w:rsid w:val="65F6714C"/>
    <w:rsid w:val="66521231"/>
    <w:rsid w:val="66D71736"/>
    <w:rsid w:val="685A5B45"/>
    <w:rsid w:val="687B0965"/>
    <w:rsid w:val="69603F17"/>
    <w:rsid w:val="69820AF7"/>
    <w:rsid w:val="699707DA"/>
    <w:rsid w:val="6A897180"/>
    <w:rsid w:val="6A8D43E1"/>
    <w:rsid w:val="6AD2370D"/>
    <w:rsid w:val="6B1227B7"/>
    <w:rsid w:val="6B1B3A43"/>
    <w:rsid w:val="6B6A0185"/>
    <w:rsid w:val="6BC32289"/>
    <w:rsid w:val="6C632779"/>
    <w:rsid w:val="6C7F6243"/>
    <w:rsid w:val="6DF778F6"/>
    <w:rsid w:val="6FAF49F8"/>
    <w:rsid w:val="7052137C"/>
    <w:rsid w:val="70BE645C"/>
    <w:rsid w:val="70C13EEE"/>
    <w:rsid w:val="70CC4DD8"/>
    <w:rsid w:val="712972E0"/>
    <w:rsid w:val="71AB3FB3"/>
    <w:rsid w:val="721C2558"/>
    <w:rsid w:val="73884584"/>
    <w:rsid w:val="742432C6"/>
    <w:rsid w:val="74D40227"/>
    <w:rsid w:val="77043E82"/>
    <w:rsid w:val="77253734"/>
    <w:rsid w:val="77662188"/>
    <w:rsid w:val="78974DBC"/>
    <w:rsid w:val="78CC2A13"/>
    <w:rsid w:val="79286404"/>
    <w:rsid w:val="79781EFD"/>
    <w:rsid w:val="79A42B80"/>
    <w:rsid w:val="79AE5265"/>
    <w:rsid w:val="7A453FCD"/>
    <w:rsid w:val="7AB6395B"/>
    <w:rsid w:val="7B7977D8"/>
    <w:rsid w:val="7B7E5532"/>
    <w:rsid w:val="7CDC3BA8"/>
    <w:rsid w:val="7D220CE2"/>
    <w:rsid w:val="7DEE2173"/>
    <w:rsid w:val="7E4515FE"/>
    <w:rsid w:val="7EE911B1"/>
    <w:rsid w:val="7F4F235A"/>
    <w:rsid w:val="7F6C48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b/>
      <w:kern w:val="0"/>
      <w:sz w:val="36"/>
      <w:szCs w:val="36"/>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alloon Text"/>
    <w:basedOn w:val="1"/>
    <w:link w:val="15"/>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Autospacing="1" w:afterAutospacing="1"/>
      <w:jc w:val="left"/>
    </w:pPr>
    <w:rPr>
      <w:kern w:val="0"/>
      <w:sz w:val="24"/>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0"/>
    <w:rPr>
      <w:b/>
    </w:rPr>
  </w:style>
  <w:style w:type="character" w:styleId="12">
    <w:name w:val="FollowedHyperlink"/>
    <w:basedOn w:val="10"/>
    <w:uiPriority w:val="0"/>
    <w:rPr>
      <w:color w:val="666666"/>
      <w:u w:val="none"/>
    </w:rPr>
  </w:style>
  <w:style w:type="character" w:styleId="13">
    <w:name w:val="Emphasis"/>
    <w:basedOn w:val="10"/>
    <w:qFormat/>
    <w:uiPriority w:val="20"/>
    <w:rPr>
      <w:i/>
      <w:iCs/>
    </w:rPr>
  </w:style>
  <w:style w:type="character" w:styleId="14">
    <w:name w:val="Hyperlink"/>
    <w:basedOn w:val="10"/>
    <w:qFormat/>
    <w:uiPriority w:val="0"/>
    <w:rPr>
      <w:color w:val="0000FF"/>
      <w:u w:val="single"/>
    </w:rPr>
  </w:style>
  <w:style w:type="character" w:customStyle="1" w:styleId="15">
    <w:name w:val="批注框文本 Char"/>
    <w:basedOn w:val="10"/>
    <w:link w:val="4"/>
    <w:qFormat/>
    <w:uiPriority w:val="0"/>
    <w:rPr>
      <w:kern w:val="2"/>
      <w:sz w:val="18"/>
      <w:szCs w:val="18"/>
    </w:rPr>
  </w:style>
  <w:style w:type="character" w:customStyle="1" w:styleId="16">
    <w:name w:val="subpro"/>
    <w:basedOn w:val="10"/>
    <w:qFormat/>
    <w:uiPriority w:val="0"/>
  </w:style>
  <w:style w:type="character" w:customStyle="1" w:styleId="17">
    <w:name w:val="qq_login_logo"/>
    <w:basedOn w:val="10"/>
    <w:qFormat/>
    <w:uiPriority w:val="0"/>
  </w:style>
  <w:style w:type="character" w:customStyle="1" w:styleId="18">
    <w:name w:val="empty"/>
    <w:basedOn w:val="10"/>
    <w:qFormat/>
    <w:uiPriority w:val="0"/>
  </w:style>
  <w:style w:type="character" w:customStyle="1" w:styleId="19">
    <w:name w:val="empty1"/>
    <w:basedOn w:val="10"/>
    <w:qFormat/>
    <w:uiPriority w:val="0"/>
  </w:style>
  <w:style w:type="character" w:customStyle="1" w:styleId="20">
    <w:name w:val="opts-count+span"/>
    <w:basedOn w:val="10"/>
    <w:qFormat/>
    <w:uiPriority w:val="0"/>
  </w:style>
  <w:style w:type="character" w:customStyle="1" w:styleId="21">
    <w:name w:val="opts-count"/>
    <w:basedOn w:val="10"/>
    <w:uiPriority w:val="0"/>
    <w:rPr>
      <w:color w:val="000000"/>
      <w:sz w:val="18"/>
      <w:szCs w:val="18"/>
    </w:rPr>
  </w:style>
  <w:style w:type="character" w:customStyle="1" w:styleId="22">
    <w:name w:val="layui-this"/>
    <w:basedOn w:val="10"/>
    <w:uiPriority w:val="0"/>
    <w:rPr>
      <w:bdr w:val="single" w:color="EEEEEE" w:sz="6" w:space="0"/>
      <w:shd w:val="clear" w:fill="FFFFFF"/>
    </w:rPr>
  </w:style>
  <w:style w:type="character" w:customStyle="1" w:styleId="23">
    <w:name w:val="first-child"/>
    <w:basedOn w:val="10"/>
    <w:qFormat/>
    <w:uiPriority w:val="0"/>
  </w:style>
  <w:style w:type="paragraph" w:styleId="24">
    <w:name w:val="List Paragraph"/>
    <w:basedOn w:val="1"/>
    <w:qFormat/>
    <w:uiPriority w:val="34"/>
    <w:pPr>
      <w:widowControl/>
      <w:ind w:left="720"/>
      <w:contextualSpacing/>
      <w:jc w:val="left"/>
    </w:pPr>
    <w:rPr>
      <w:rFonts w:ascii="Calibri" w:hAnsi="Calibri"/>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Pages>
  <Words>5977</Words>
  <Characters>10157</Characters>
  <Lines>43</Lines>
  <Paragraphs>20</Paragraphs>
  <TotalTime>10</TotalTime>
  <ScaleCrop>false</ScaleCrop>
  <LinksUpToDate>false</LinksUpToDate>
  <CharactersWithSpaces>10575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2022-09-07T00:31:00Z</dcterms:created>
  <dc:creator>91226</dc:creator>
  <cp:lastModifiedBy>Admin</cp:lastModifiedBy>
  <dcterms:modified xsi:type="dcterms:W3CDTF">2023-08-26T08:09:42Z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DCFA2AE6ACF94E1586EB99FF638AF6E5_13</vt:lpwstr>
  </property>
</Properties>
</file>